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421" w:rsidRDefault="006A1421">
      <w:pPr>
        <w:pStyle w:val="BodyText"/>
        <w:spacing w:before="8"/>
        <w:rPr>
          <w:noProof/>
        </w:rPr>
      </w:pPr>
      <w:bookmarkStart w:id="0" w:name="_GoBack"/>
      <w:bookmarkEnd w:id="0"/>
    </w:p>
    <w:p w:rsidR="006A1421" w:rsidRPr="00B05610" w:rsidRDefault="006270DA" w:rsidP="006A1421">
      <w:pPr>
        <w:pStyle w:val="BodyText"/>
        <w:spacing w:before="8"/>
        <w:jc w:val="center"/>
        <w:rPr>
          <w:rFonts w:ascii="Arial" w:hAnsi="Arial" w:cs="Arial"/>
          <w:noProof/>
          <w:sz w:val="30"/>
          <w:szCs w:val="30"/>
          <w:u w:val="single"/>
        </w:rPr>
      </w:pPr>
      <w:r w:rsidRPr="006270DA">
        <w:rPr>
          <w:rFonts w:ascii="Arial" w:hAnsi="Arial" w:cs="Arial"/>
          <w:noProof/>
          <w:sz w:val="30"/>
          <w:szCs w:val="30"/>
          <w:u w:val="single"/>
        </w:rPr>
        <mc:AlternateContent>
          <mc:Choice Requires="wps">
            <w:drawing>
              <wp:anchor distT="45720" distB="45720" distL="114300" distR="114300" simplePos="0" relativeHeight="251659264" behindDoc="0" locked="0" layoutInCell="1" allowOverlap="1">
                <wp:simplePos x="0" y="0"/>
                <wp:positionH relativeFrom="page">
                  <wp:posOffset>2345690</wp:posOffset>
                </wp:positionH>
                <wp:positionV relativeFrom="paragraph">
                  <wp:posOffset>10795</wp:posOffset>
                </wp:positionV>
                <wp:extent cx="3058160" cy="283210"/>
                <wp:effectExtent l="0" t="0" r="2794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283210"/>
                        </a:xfrm>
                        <a:prstGeom prst="rect">
                          <a:avLst/>
                        </a:prstGeom>
                        <a:solidFill>
                          <a:srgbClr val="990000"/>
                        </a:solidFill>
                        <a:ln w="9525">
                          <a:solidFill>
                            <a:srgbClr val="000000"/>
                          </a:solidFill>
                          <a:miter lim="800000"/>
                          <a:headEnd/>
                          <a:tailEnd/>
                        </a:ln>
                      </wps:spPr>
                      <wps:txbx>
                        <w:txbxContent>
                          <w:p w:rsidR="006270DA" w:rsidRPr="006270DA" w:rsidRDefault="006270DA">
                            <w:pPr>
                              <w:rPr>
                                <w:rFonts w:ascii="Arial Black" w:hAnsi="Arial Black"/>
                                <w:color w:val="FFFFFF" w:themeColor="background1"/>
                              </w:rPr>
                            </w:pPr>
                            <w:r w:rsidRPr="006270DA">
                              <w:rPr>
                                <w:rFonts w:ascii="Arial Black" w:hAnsi="Arial Black" w:cs="Arial"/>
                                <w:noProof/>
                                <w:color w:val="FFFFFF" w:themeColor="background1"/>
                              </w:rPr>
                              <w:t>Earn Your Master’s Degree in 5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7pt;margin-top:.85pt;width:240.8pt;height:22.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" fillcolor="#900">
                <v:textbox>
                  <w:txbxContent>
                    <w:p w:rsidR="006270DA" w:rsidRPr="006270DA" w:rsidRDefault="006270DA">
                      <w:pPr>
                        <w:rPr>
                          <w:rFonts w:ascii="Arial Black" w:hAnsi="Arial Black"/>
                          <w:color w:val="FFFFFF" w:themeColor="background1"/>
                        </w:rPr>
                      </w:pPr>
                      <w:r w:rsidRPr="006270DA">
                        <w:rPr>
                          <w:rFonts w:ascii="Arial Black" w:hAnsi="Arial Black" w:cs="Arial"/>
                          <w:noProof/>
                          <w:color w:val="FFFFFF" w:themeColor="background1"/>
                        </w:rPr>
                        <w:t>Earn Your Master’s Degree in 5 Years</w:t>
                      </w:r>
                    </w:p>
                  </w:txbxContent>
                </v:textbox>
                <w10:wrap type="square" anchorx="page"/>
              </v:shape>
            </w:pict>
          </mc:Fallback>
        </mc:AlternateContent>
      </w:r>
    </w:p>
    <w:p w:rsidR="008D11FD" w:rsidRPr="006A1421" w:rsidRDefault="008D11FD" w:rsidP="006A1421">
      <w:pPr>
        <w:pStyle w:val="BodyText"/>
        <w:spacing w:before="8"/>
        <w:jc w:val="center"/>
        <w:rPr>
          <w:rFonts w:ascii="Arial Black" w:hAnsi="Arial Black"/>
          <w:noProof/>
          <w:sz w:val="30"/>
          <w:szCs w:val="30"/>
        </w:rPr>
      </w:pPr>
    </w:p>
    <w:p w:rsidR="008D11FD" w:rsidRDefault="008D11FD" w:rsidP="0019481E">
      <w:pPr>
        <w:pStyle w:val="BodyText"/>
        <w:spacing w:before="8"/>
        <w:ind w:left="432"/>
        <w:rPr>
          <w:rFonts w:ascii="Arial Black"/>
          <w:b/>
          <w:sz w:val="15"/>
        </w:rPr>
        <w:sectPr w:rsidR="008D11FD">
          <w:type w:val="continuous"/>
          <w:pgSz w:w="12240" w:h="15840"/>
          <w:pgMar w:top="540" w:right="540" w:bottom="280" w:left="600" w:header="720" w:footer="720" w:gutter="0"/>
          <w:cols w:space="720"/>
        </w:sectPr>
      </w:pPr>
    </w:p>
    <w:p w:rsidR="008D11FD" w:rsidRDefault="00EC5F4D" w:rsidP="008D11FD">
      <w:pPr>
        <w:pStyle w:val="BodyText"/>
        <w:spacing w:before="8"/>
        <w:ind w:left="432"/>
        <w:rPr>
          <w:rFonts w:ascii="Arial Black"/>
          <w:b/>
          <w:sz w:val="18"/>
          <w:szCs w:val="18"/>
        </w:rPr>
      </w:pPr>
      <w:r>
        <w:rPr>
          <w:noProof/>
        </w:rPr>
        <w:drawing>
          <wp:inline distT="0" distB="0" distL="0" distR="0" wp14:anchorId="4809777D" wp14:editId="2E39BF64">
            <wp:extent cx="2705100" cy="571500"/>
            <wp:effectExtent l="0" t="0" r="0" b="0"/>
            <wp:docPr id="36" name="Picture 36" descr="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571500"/>
                    </a:xfrm>
                    <a:prstGeom prst="rect">
                      <a:avLst/>
                    </a:prstGeom>
                    <a:noFill/>
                    <a:ln>
                      <a:noFill/>
                    </a:ln>
                  </pic:spPr>
                </pic:pic>
              </a:graphicData>
            </a:graphic>
          </wp:inline>
        </w:drawing>
      </w:r>
      <w:r w:rsidR="008D11FD" w:rsidRPr="008D11FD">
        <w:rPr>
          <w:rFonts w:ascii="Arial Black"/>
          <w:b/>
          <w:sz w:val="18"/>
          <w:szCs w:val="18"/>
        </w:rPr>
        <w:t xml:space="preserve"> </w:t>
      </w:r>
    </w:p>
    <w:p w:rsidR="008D11FD" w:rsidRPr="008D11FD" w:rsidRDefault="008D11FD" w:rsidP="008D11FD">
      <w:pPr>
        <w:pStyle w:val="BodyText"/>
        <w:spacing w:before="8"/>
        <w:ind w:left="432" w:firstLine="288"/>
        <w:rPr>
          <w:rFonts w:ascii="Times New Roman" w:hAnsi="Times New Roman" w:cs="Times New Roman"/>
          <w:i/>
          <w:color w:val="595959" w:themeColor="text1" w:themeTint="A6"/>
          <w:sz w:val="18"/>
          <w:szCs w:val="18"/>
        </w:rPr>
      </w:pPr>
      <w:r w:rsidRPr="008D11FD">
        <w:rPr>
          <w:rFonts w:ascii="Times New Roman" w:hAnsi="Times New Roman" w:cs="Times New Roman"/>
          <w:i/>
          <w:color w:val="595959" w:themeColor="text1" w:themeTint="A6"/>
          <w:sz w:val="18"/>
          <w:szCs w:val="18"/>
        </w:rPr>
        <w:t>Bachelor of Science in Construction Management</w:t>
      </w:r>
    </w:p>
    <w:p w:rsidR="008D11FD" w:rsidRDefault="008D11FD" w:rsidP="0019481E">
      <w:pPr>
        <w:pStyle w:val="BodyText"/>
        <w:spacing w:before="8"/>
        <w:ind w:left="432"/>
        <w:rPr>
          <w:rFonts w:ascii="Arial Black"/>
          <w:b/>
          <w:sz w:val="15"/>
        </w:rPr>
      </w:pPr>
      <w:r>
        <w:rPr>
          <w:rFonts w:ascii="Arial Black"/>
          <w:b/>
          <w:noProof/>
          <w:sz w:val="24"/>
          <w:szCs w:val="24"/>
        </w:rPr>
        <w:drawing>
          <wp:inline distT="0" distB="0" distL="0" distR="0" wp14:anchorId="30B0B8E6" wp14:editId="06B2293F">
            <wp:extent cx="2981325" cy="7239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PS_RealEstate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325" cy="723900"/>
                    </a:xfrm>
                    <a:prstGeom prst="rect">
                      <a:avLst/>
                    </a:prstGeom>
                  </pic:spPr>
                </pic:pic>
              </a:graphicData>
            </a:graphic>
          </wp:inline>
        </w:drawing>
      </w:r>
      <w:r w:rsidR="00EC5F4D">
        <w:rPr>
          <w:rFonts w:ascii="Arial Black"/>
          <w:b/>
          <w:sz w:val="15"/>
        </w:rPr>
        <w:tab/>
      </w:r>
    </w:p>
    <w:p w:rsidR="00EC5F4D" w:rsidRDefault="00EC5F4D">
      <w:pPr>
        <w:pStyle w:val="BodyText"/>
        <w:spacing w:before="8"/>
        <w:rPr>
          <w:rFonts w:ascii="Arial Black"/>
          <w:b/>
          <w:sz w:val="24"/>
          <w:szCs w:val="24"/>
        </w:rPr>
      </w:pPr>
    </w:p>
    <w:p w:rsidR="008D11FD" w:rsidRDefault="008D11FD" w:rsidP="0019481E">
      <w:pPr>
        <w:pStyle w:val="BalloonText"/>
        <w:spacing w:before="100" w:line="252" w:lineRule="auto"/>
        <w:ind w:left="115" w:right="168"/>
        <w:jc w:val="both"/>
        <w:rPr>
          <w:rFonts w:ascii="Arial Narrow" w:hAnsi="Arial Narrow"/>
          <w:color w:val="231F20"/>
          <w:sz w:val="20"/>
          <w:szCs w:val="20"/>
        </w:rPr>
        <w:sectPr w:rsidR="008D11FD" w:rsidSect="008D11FD">
          <w:type w:val="continuous"/>
          <w:pgSz w:w="12240" w:h="15840"/>
          <w:pgMar w:top="540" w:right="540" w:bottom="280" w:left="600" w:header="720" w:footer="720" w:gutter="0"/>
          <w:cols w:num="2" w:space="720"/>
        </w:sectPr>
      </w:pPr>
    </w:p>
    <w:p w:rsidR="00E000EC" w:rsidRPr="00303279" w:rsidRDefault="000A44AF" w:rsidP="00303279">
      <w:pPr>
        <w:pStyle w:val="BalloonText"/>
        <w:spacing w:before="100" w:line="252" w:lineRule="auto"/>
        <w:ind w:left="115" w:right="168"/>
        <w:jc w:val="both"/>
        <w:rPr>
          <w:rFonts w:ascii="Arial Narrow" w:hAnsi="Arial Narrow"/>
          <w:sz w:val="22"/>
          <w:szCs w:val="22"/>
        </w:rPr>
      </w:pPr>
      <w:r w:rsidRPr="00303279">
        <w:rPr>
          <w:rFonts w:ascii="Arial Narrow" w:hAnsi="Arial Narrow"/>
          <w:color w:val="231F20"/>
          <w:sz w:val="22"/>
          <w:szCs w:val="22"/>
        </w:rPr>
        <w:t>The accelerated BS/MPS in real estate development offers</w:t>
      </w:r>
      <w:r w:rsidR="00636FCE" w:rsidRPr="00303279">
        <w:rPr>
          <w:rFonts w:ascii="Arial Narrow" w:hAnsi="Arial Narrow"/>
          <w:color w:val="231F20"/>
          <w:sz w:val="22"/>
          <w:szCs w:val="22"/>
        </w:rPr>
        <w:t xml:space="preserve"> </w:t>
      </w:r>
      <w:r w:rsidR="0019481E" w:rsidRPr="00303279">
        <w:rPr>
          <w:rFonts w:ascii="Arial Narrow" w:hAnsi="Arial Narrow"/>
          <w:color w:val="231F20"/>
          <w:sz w:val="22"/>
          <w:szCs w:val="22"/>
        </w:rPr>
        <w:t>IUPUI Construction Management (CM)</w:t>
      </w:r>
      <w:r w:rsidRPr="00303279">
        <w:rPr>
          <w:rFonts w:ascii="Arial Narrow" w:hAnsi="Arial Narrow"/>
          <w:color w:val="231F20"/>
          <w:sz w:val="22"/>
          <w:szCs w:val="22"/>
        </w:rPr>
        <w:t xml:space="preserve"> students the opportunity to complete the requirements for both the </w:t>
      </w:r>
      <w:r w:rsidR="009534D1" w:rsidRPr="00303279">
        <w:rPr>
          <w:rFonts w:ascii="Arial Narrow" w:hAnsi="Arial Narrow"/>
          <w:color w:val="231F20"/>
          <w:sz w:val="22"/>
          <w:szCs w:val="22"/>
        </w:rPr>
        <w:t>B</w:t>
      </w:r>
      <w:r w:rsidRPr="00303279">
        <w:rPr>
          <w:rFonts w:ascii="Arial Narrow" w:hAnsi="Arial Narrow"/>
          <w:color w:val="231F20"/>
          <w:sz w:val="22"/>
          <w:szCs w:val="22"/>
        </w:rPr>
        <w:t xml:space="preserve">achelor of </w:t>
      </w:r>
      <w:r w:rsidR="009534D1" w:rsidRPr="00303279">
        <w:rPr>
          <w:rFonts w:ascii="Arial Narrow" w:hAnsi="Arial Narrow"/>
          <w:color w:val="231F20"/>
          <w:sz w:val="22"/>
          <w:szCs w:val="22"/>
        </w:rPr>
        <w:t>S</w:t>
      </w:r>
      <w:r w:rsidRPr="00303279">
        <w:rPr>
          <w:rFonts w:ascii="Arial Narrow" w:hAnsi="Arial Narrow"/>
          <w:color w:val="231F20"/>
          <w:sz w:val="22"/>
          <w:szCs w:val="22"/>
        </w:rPr>
        <w:t>cience</w:t>
      </w:r>
      <w:r w:rsidR="0019481E" w:rsidRPr="00303279">
        <w:rPr>
          <w:rFonts w:ascii="Arial Narrow" w:hAnsi="Arial Narrow"/>
          <w:color w:val="231F20"/>
          <w:sz w:val="22"/>
          <w:szCs w:val="22"/>
        </w:rPr>
        <w:t xml:space="preserve"> (BS)</w:t>
      </w:r>
      <w:r w:rsidRPr="00303279">
        <w:rPr>
          <w:rFonts w:ascii="Arial Narrow" w:hAnsi="Arial Narrow"/>
          <w:color w:val="231F20"/>
          <w:sz w:val="22"/>
          <w:szCs w:val="22"/>
        </w:rPr>
        <w:t xml:space="preserve"> and </w:t>
      </w:r>
      <w:r w:rsidR="008725A6" w:rsidRPr="00303279">
        <w:rPr>
          <w:rFonts w:ascii="Arial Narrow" w:hAnsi="Arial Narrow"/>
          <w:color w:val="231F20"/>
          <w:sz w:val="22"/>
          <w:szCs w:val="22"/>
        </w:rPr>
        <w:t xml:space="preserve">Master of Professional Studies (MPS) in real estate development </w:t>
      </w:r>
      <w:r w:rsidR="0019481E" w:rsidRPr="00303279">
        <w:rPr>
          <w:rFonts w:ascii="Arial Narrow" w:hAnsi="Arial Narrow"/>
          <w:color w:val="231F20"/>
          <w:sz w:val="22"/>
          <w:szCs w:val="22"/>
        </w:rPr>
        <w:t xml:space="preserve">(RED) </w:t>
      </w:r>
      <w:r w:rsidRPr="00303279">
        <w:rPr>
          <w:rFonts w:ascii="Arial Narrow" w:hAnsi="Arial Narrow"/>
          <w:color w:val="231F20"/>
          <w:sz w:val="22"/>
          <w:szCs w:val="22"/>
        </w:rPr>
        <w:t xml:space="preserve">degrees within five years. </w:t>
      </w:r>
      <w:r w:rsidR="0019481E" w:rsidRPr="00303279">
        <w:rPr>
          <w:rFonts w:ascii="Arial Narrow" w:hAnsi="Arial Narrow" w:cs="Times New Roman"/>
          <w:sz w:val="22"/>
          <w:szCs w:val="22"/>
        </w:rPr>
        <w:t xml:space="preserve">CM Students will follow a prescribed sequence of courses that provide for substitution of four RED courses in place of </w:t>
      </w:r>
      <w:r w:rsidR="004A72E3">
        <w:rPr>
          <w:rFonts w:ascii="Arial Narrow" w:hAnsi="Arial Narrow" w:cs="Times New Roman"/>
          <w:sz w:val="22"/>
          <w:szCs w:val="22"/>
        </w:rPr>
        <w:t>business courses</w:t>
      </w:r>
      <w:r w:rsidR="0019481E" w:rsidRPr="00303279">
        <w:rPr>
          <w:rFonts w:ascii="Arial Narrow" w:hAnsi="Arial Narrow" w:cs="Times New Roman"/>
          <w:sz w:val="22"/>
          <w:szCs w:val="22"/>
        </w:rPr>
        <w:t>.  The RED courses will s</w:t>
      </w:r>
      <w:r w:rsidR="004A72E3">
        <w:rPr>
          <w:rFonts w:ascii="Arial Narrow" w:hAnsi="Arial Narrow" w:cs="Times New Roman"/>
          <w:sz w:val="22"/>
          <w:szCs w:val="22"/>
        </w:rPr>
        <w:t xml:space="preserve">ubstitute for the business minor course </w:t>
      </w:r>
      <w:r w:rsidR="0019481E" w:rsidRPr="00303279">
        <w:rPr>
          <w:rFonts w:ascii="Arial Narrow" w:hAnsi="Arial Narrow" w:cs="Times New Roman"/>
          <w:sz w:val="22"/>
          <w:szCs w:val="22"/>
        </w:rPr>
        <w:t>requirements of the IUPUI BS degree</w:t>
      </w:r>
      <w:r w:rsidR="004A72E3">
        <w:rPr>
          <w:rFonts w:ascii="Arial Narrow" w:hAnsi="Arial Narrow" w:cs="Times New Roman"/>
          <w:sz w:val="22"/>
          <w:szCs w:val="22"/>
        </w:rPr>
        <w:t xml:space="preserve">.  Upon </w:t>
      </w:r>
      <w:r w:rsidR="0019481E" w:rsidRPr="00303279">
        <w:rPr>
          <w:rFonts w:ascii="Arial Narrow" w:hAnsi="Arial Narrow" w:cs="Times New Roman"/>
          <w:sz w:val="22"/>
          <w:szCs w:val="22"/>
        </w:rPr>
        <w:t>satisfaction and completion of the IUPUI BS degree, students will only need to complete six RED courses to obtain the University of Indianapolis MPS degree</w:t>
      </w:r>
      <w:r w:rsidR="004A72E3">
        <w:rPr>
          <w:rFonts w:ascii="Arial Narrow" w:hAnsi="Arial Narrow" w:cs="Times New Roman"/>
          <w:sz w:val="22"/>
          <w:szCs w:val="22"/>
        </w:rPr>
        <w:t>, which can be accomplished in one year.</w:t>
      </w:r>
    </w:p>
    <w:p w:rsidR="00E000EC" w:rsidRPr="00303279" w:rsidRDefault="00E000EC" w:rsidP="00303279">
      <w:pPr>
        <w:pStyle w:val="BodyText"/>
        <w:spacing w:before="2"/>
        <w:jc w:val="both"/>
        <w:rPr>
          <w:sz w:val="22"/>
          <w:szCs w:val="22"/>
        </w:rPr>
      </w:pPr>
    </w:p>
    <w:p w:rsidR="00E000EC" w:rsidRPr="00303279" w:rsidRDefault="000A44AF" w:rsidP="00303279">
      <w:pPr>
        <w:pStyle w:val="Heading2"/>
        <w:tabs>
          <w:tab w:val="left" w:pos="10914"/>
        </w:tabs>
        <w:ind w:left="125"/>
        <w:jc w:val="both"/>
        <w:rPr>
          <w:rFonts w:ascii="Arial Black"/>
        </w:rPr>
      </w:pPr>
      <w:r w:rsidRPr="00303279">
        <w:rPr>
          <w:rFonts w:ascii="Times New Roman"/>
          <w:b w:val="0"/>
          <w:color w:val="FFFFFF"/>
          <w:shd w:val="clear" w:color="auto" w:fill="A90433"/>
        </w:rPr>
        <w:t xml:space="preserve">  </w:t>
      </w:r>
      <w:r w:rsidRPr="00303279">
        <w:rPr>
          <w:rFonts w:ascii="Times New Roman"/>
          <w:b w:val="0"/>
          <w:color w:val="FFFFFF"/>
          <w:spacing w:val="5"/>
          <w:shd w:val="clear" w:color="auto" w:fill="A90433"/>
        </w:rPr>
        <w:t xml:space="preserve"> </w:t>
      </w:r>
      <w:r w:rsidRPr="00303279">
        <w:rPr>
          <w:rFonts w:ascii="Arial Black"/>
          <w:color w:val="FFFFFF"/>
          <w:shd w:val="clear" w:color="auto" w:fill="A90433"/>
        </w:rPr>
        <w:t>Accelerated BS/MPS Real Estate Program</w:t>
      </w:r>
      <w:r w:rsidRPr="00303279">
        <w:rPr>
          <w:rFonts w:ascii="Arial Black"/>
          <w:color w:val="FFFFFF"/>
          <w:spacing w:val="-5"/>
          <w:shd w:val="clear" w:color="auto" w:fill="A90433"/>
        </w:rPr>
        <w:t xml:space="preserve"> </w:t>
      </w:r>
      <w:r w:rsidRPr="00303279">
        <w:rPr>
          <w:rFonts w:ascii="Arial Black"/>
          <w:color w:val="FFFFFF"/>
          <w:shd w:val="clear" w:color="auto" w:fill="A90433"/>
        </w:rPr>
        <w:t>Requirements</w:t>
      </w:r>
      <w:r w:rsidRPr="00303279">
        <w:rPr>
          <w:rFonts w:ascii="Arial Black"/>
          <w:color w:val="FFFFFF"/>
          <w:shd w:val="clear" w:color="auto" w:fill="A90433"/>
        </w:rPr>
        <w:tab/>
      </w:r>
    </w:p>
    <w:p w:rsidR="00E000EC" w:rsidRPr="00303279" w:rsidRDefault="009534D1" w:rsidP="00303279">
      <w:pPr>
        <w:spacing w:before="181"/>
        <w:ind w:left="118"/>
        <w:jc w:val="both"/>
        <w:rPr>
          <w:b/>
        </w:rPr>
      </w:pPr>
      <w:r w:rsidRPr="00303279">
        <w:rPr>
          <w:b/>
          <w:color w:val="231F20"/>
          <w:w w:val="90"/>
        </w:rPr>
        <w:t>Admission</w:t>
      </w:r>
      <w:r w:rsidR="000A44AF" w:rsidRPr="00303279">
        <w:rPr>
          <w:b/>
          <w:color w:val="231F20"/>
          <w:w w:val="90"/>
        </w:rPr>
        <w:t xml:space="preserve"> Requirements</w:t>
      </w:r>
    </w:p>
    <w:p w:rsidR="0019481E" w:rsidRPr="00303279" w:rsidRDefault="0019481E" w:rsidP="00303279">
      <w:pPr>
        <w:ind w:left="144"/>
        <w:jc w:val="both"/>
        <w:rPr>
          <w:rFonts w:cs="Times New Roman"/>
        </w:rPr>
      </w:pPr>
      <w:r w:rsidRPr="00303279">
        <w:rPr>
          <w:rFonts w:cs="Times New Roman"/>
        </w:rPr>
        <w:t xml:space="preserve">Admission to the accelerated BS/MPS program will be by application to the MPS program through the University of Indianapolis during the student’s junior year.  Students must possess and maintain a 3.0 grade-point average to be eligible, and be recommended by </w:t>
      </w:r>
      <w:r w:rsidR="0007383A">
        <w:rPr>
          <w:rFonts w:cs="Times New Roman"/>
        </w:rPr>
        <w:t xml:space="preserve">the </w:t>
      </w:r>
      <w:r w:rsidRPr="00303279">
        <w:rPr>
          <w:rFonts w:cs="Times New Roman"/>
        </w:rPr>
        <w:t xml:space="preserve">CM </w:t>
      </w:r>
      <w:r w:rsidR="0007383A">
        <w:rPr>
          <w:rFonts w:cs="Times New Roman"/>
        </w:rPr>
        <w:t>P</w:t>
      </w:r>
      <w:r w:rsidRPr="00303279">
        <w:rPr>
          <w:rFonts w:cs="Times New Roman"/>
        </w:rPr>
        <w:t>rogram Director.   CM students will be admitted conditionally subject to maintaining a 3.0 grade-point average, and successfully graduating with the IUPUI BS CM.</w:t>
      </w:r>
    </w:p>
    <w:p w:rsidR="00E000EC" w:rsidRPr="00303279" w:rsidRDefault="000A44AF" w:rsidP="00303279">
      <w:pPr>
        <w:pStyle w:val="Heading2"/>
        <w:spacing w:before="135"/>
        <w:jc w:val="both"/>
      </w:pPr>
      <w:r w:rsidRPr="00303279">
        <w:rPr>
          <w:color w:val="231F20"/>
          <w:w w:val="95"/>
        </w:rPr>
        <w:t>Requirements for Graduation</w:t>
      </w:r>
    </w:p>
    <w:p w:rsidR="00E000EC" w:rsidRPr="00303279" w:rsidRDefault="000A44AF" w:rsidP="00303279">
      <w:pPr>
        <w:pStyle w:val="BodyText"/>
        <w:spacing w:before="13" w:line="249" w:lineRule="auto"/>
        <w:ind w:left="115" w:right="234"/>
        <w:jc w:val="both"/>
        <w:rPr>
          <w:sz w:val="22"/>
          <w:szCs w:val="22"/>
        </w:rPr>
      </w:pPr>
      <w:r w:rsidRPr="00303279">
        <w:rPr>
          <w:color w:val="231F20"/>
          <w:sz w:val="22"/>
          <w:szCs w:val="22"/>
        </w:rPr>
        <w:t xml:space="preserve">The BS degree must be earned and awarded </w:t>
      </w:r>
      <w:r w:rsidR="001069D6">
        <w:rPr>
          <w:color w:val="231F20"/>
          <w:sz w:val="22"/>
          <w:szCs w:val="22"/>
        </w:rPr>
        <w:t>upon completion of</w:t>
      </w:r>
      <w:r w:rsidRPr="00303279">
        <w:rPr>
          <w:color w:val="231F20"/>
          <w:sz w:val="22"/>
          <w:szCs w:val="22"/>
        </w:rPr>
        <w:t xml:space="preserve"> the senior year. In addition to fulfilling the requirements for the BS degree, students must earn a minimum of 150 credit hours that includes ten MPS graduate real estate courses (30 credit hours). Students must fulfill all University and School of Business requirements for graduation prior to receiving the MPS degree. At least 18 graduate credit hours must be taken after comple</w:t>
      </w:r>
      <w:r w:rsidR="0014604E" w:rsidRPr="00303279">
        <w:rPr>
          <w:color w:val="231F20"/>
          <w:sz w:val="22"/>
          <w:szCs w:val="22"/>
        </w:rPr>
        <w:t>tion of the BS degree. RED courses are only offered once per year and must be taken in the prescribed sequence.</w:t>
      </w:r>
    </w:p>
    <w:p w:rsidR="00E000EC" w:rsidRPr="00303279" w:rsidRDefault="00E000EC" w:rsidP="00303279">
      <w:pPr>
        <w:pStyle w:val="BodyText"/>
        <w:spacing w:before="8"/>
        <w:jc w:val="both"/>
        <w:rPr>
          <w:sz w:val="22"/>
          <w:szCs w:val="22"/>
        </w:rPr>
      </w:pPr>
    </w:p>
    <w:p w:rsidR="000C48BD" w:rsidRPr="00303279" w:rsidRDefault="000C48BD" w:rsidP="00303279">
      <w:pPr>
        <w:widowControl/>
        <w:shd w:val="clear" w:color="auto" w:fill="FFFFFF"/>
        <w:autoSpaceDE/>
        <w:autoSpaceDN/>
        <w:ind w:firstLine="115"/>
        <w:jc w:val="both"/>
        <w:rPr>
          <w:rFonts w:eastAsia="Times New Roman" w:cs="Times New Roman"/>
          <w:color w:val="222222"/>
        </w:rPr>
      </w:pPr>
      <w:r w:rsidRPr="00303279">
        <w:rPr>
          <w:rFonts w:eastAsia="Times New Roman" w:cs="Times New Roman"/>
          <w:b/>
          <w:bCs/>
          <w:color w:val="222222"/>
        </w:rPr>
        <w:t>Tuition, Fees and Aid</w:t>
      </w:r>
    </w:p>
    <w:p w:rsidR="0014604E" w:rsidRPr="00303279" w:rsidRDefault="0014604E" w:rsidP="00303279">
      <w:pPr>
        <w:ind w:left="115"/>
        <w:jc w:val="both"/>
        <w:rPr>
          <w:rFonts w:cs="Times New Roman"/>
        </w:rPr>
      </w:pPr>
      <w:r w:rsidRPr="00303279">
        <w:rPr>
          <w:rFonts w:cs="Times New Roman"/>
        </w:rPr>
        <w:t>For IUPUI courses in the CM 4+1 (5-Year) Plan of Study, a student pays IUPUI the tuitio</w:t>
      </w:r>
      <w:r w:rsidR="001069D6">
        <w:rPr>
          <w:rFonts w:cs="Times New Roman"/>
        </w:rPr>
        <w:t>n and fees associated with IUPUI</w:t>
      </w:r>
      <w:r w:rsidRPr="00303279">
        <w:rPr>
          <w:rFonts w:cs="Times New Roman"/>
        </w:rPr>
        <w:t xml:space="preserve"> courses.  All RED courses are taken at the University of Indianapolis, and the student pays UINDY the tuition and fees associated with those courses. </w:t>
      </w:r>
    </w:p>
    <w:p w:rsidR="0014604E" w:rsidRPr="00303279" w:rsidRDefault="0014604E" w:rsidP="00303279">
      <w:pPr>
        <w:widowControl/>
        <w:shd w:val="clear" w:color="auto" w:fill="FFFFFF"/>
        <w:autoSpaceDE/>
        <w:autoSpaceDN/>
        <w:ind w:left="115"/>
        <w:jc w:val="both"/>
        <w:rPr>
          <w:rFonts w:eastAsia="Times New Roman" w:cs="Times New Roman"/>
          <w:color w:val="222222"/>
        </w:rPr>
      </w:pPr>
    </w:p>
    <w:p w:rsidR="000C48BD" w:rsidRPr="00303279" w:rsidRDefault="000C48BD" w:rsidP="00303279">
      <w:pPr>
        <w:widowControl/>
        <w:shd w:val="clear" w:color="auto" w:fill="FFFFFF"/>
        <w:autoSpaceDE/>
        <w:autoSpaceDN/>
        <w:ind w:left="115"/>
        <w:jc w:val="both"/>
        <w:rPr>
          <w:rFonts w:eastAsia="Times New Roman" w:cs="Times New Roman"/>
          <w:color w:val="222222"/>
        </w:rPr>
      </w:pPr>
      <w:r w:rsidRPr="00303279">
        <w:rPr>
          <w:rFonts w:eastAsia="Times New Roman" w:cs="Times New Roman"/>
          <w:color w:val="222222"/>
        </w:rPr>
        <w:t>All courses taken prior to completion of the BS degree will be billed at the undergraduate tuition rate.  Summer MPS courses will be billed at the graduate tuition rate.  All courses taken after completion of the BS degree will be billed at the graduate tuition rate.  </w:t>
      </w:r>
    </w:p>
    <w:p w:rsidR="000C48BD" w:rsidRPr="00303279" w:rsidRDefault="000C48BD" w:rsidP="00303279">
      <w:pPr>
        <w:widowControl/>
        <w:shd w:val="clear" w:color="auto" w:fill="FFFFFF"/>
        <w:autoSpaceDE/>
        <w:autoSpaceDN/>
        <w:jc w:val="both"/>
        <w:rPr>
          <w:rFonts w:eastAsia="Times New Roman" w:cs="Times New Roman"/>
          <w:color w:val="222222"/>
        </w:rPr>
      </w:pPr>
    </w:p>
    <w:p w:rsidR="000C48BD" w:rsidRPr="00303279" w:rsidRDefault="000C48BD" w:rsidP="00303279">
      <w:pPr>
        <w:widowControl/>
        <w:shd w:val="clear" w:color="auto" w:fill="FFFFFF"/>
        <w:autoSpaceDE/>
        <w:autoSpaceDN/>
        <w:ind w:left="115"/>
        <w:jc w:val="both"/>
        <w:rPr>
          <w:rFonts w:eastAsia="Times New Roman" w:cs="Times New Roman"/>
          <w:color w:val="222222"/>
        </w:rPr>
      </w:pPr>
      <w:r w:rsidRPr="00303279">
        <w:rPr>
          <w:rFonts w:eastAsia="Times New Roman" w:cs="Times New Roman"/>
          <w:color w:val="222222"/>
        </w:rPr>
        <w:t>Any merit and talent scholarships earned, as well as any undergraduate financial aid awarded based upon filing the FAFSA, will be applicable during the fourth year of the 4+1 BS/MPS-Real Estate Development program as long as the student meets the following conditions:  (1) has not earned a BA/BS degree, (2) remains registered as an undergraduate student, and (3) fourth year courses count both towards the final year of the undergraduate degree and the first two semesters of the graduate program.  </w:t>
      </w:r>
    </w:p>
    <w:p w:rsidR="000C48BD" w:rsidRPr="00303279" w:rsidRDefault="000C48BD" w:rsidP="00303279">
      <w:pPr>
        <w:widowControl/>
        <w:shd w:val="clear" w:color="auto" w:fill="FFFFFF"/>
        <w:autoSpaceDE/>
        <w:autoSpaceDN/>
        <w:jc w:val="both"/>
        <w:rPr>
          <w:rFonts w:eastAsia="Times New Roman" w:cs="Times New Roman"/>
          <w:color w:val="222222"/>
        </w:rPr>
      </w:pPr>
    </w:p>
    <w:p w:rsidR="000C48BD" w:rsidRPr="00303279" w:rsidRDefault="000C48BD" w:rsidP="00303279">
      <w:pPr>
        <w:widowControl/>
        <w:shd w:val="clear" w:color="auto" w:fill="FFFFFF"/>
        <w:autoSpaceDE/>
        <w:autoSpaceDN/>
        <w:ind w:left="115"/>
        <w:jc w:val="both"/>
        <w:rPr>
          <w:rFonts w:eastAsia="Times New Roman" w:cs="Times New Roman"/>
          <w:color w:val="222222"/>
        </w:rPr>
      </w:pPr>
      <w:r w:rsidRPr="00303279">
        <w:rPr>
          <w:rFonts w:eastAsia="Times New Roman" w:cs="Times New Roman"/>
          <w:color w:val="222222"/>
        </w:rPr>
        <w:t>Prior to the start of the first graduate summer semester, students will work with the Office of Financial Aid to update their current year FAFSA to reflect graduate program status.  This revision will allow graduate aid to be processed.</w:t>
      </w:r>
    </w:p>
    <w:p w:rsidR="00E000EC" w:rsidRPr="00303279" w:rsidRDefault="000A44AF" w:rsidP="00303279">
      <w:pPr>
        <w:pStyle w:val="Heading2"/>
        <w:spacing w:before="136"/>
        <w:jc w:val="both"/>
      </w:pPr>
      <w:r w:rsidRPr="00303279">
        <w:rPr>
          <w:color w:val="231F20"/>
          <w:w w:val="95"/>
        </w:rPr>
        <w:t>Accelerated BS/MPS Course Outline</w:t>
      </w:r>
    </w:p>
    <w:p w:rsidR="0014604E" w:rsidRPr="0007383A" w:rsidRDefault="000A44AF" w:rsidP="0007383A">
      <w:pPr>
        <w:pStyle w:val="BodyText"/>
        <w:spacing w:before="13" w:line="249" w:lineRule="auto"/>
        <w:ind w:left="115" w:right="252"/>
        <w:jc w:val="both"/>
        <w:rPr>
          <w:color w:val="231F20"/>
          <w:w w:val="95"/>
        </w:rPr>
      </w:pPr>
      <w:r w:rsidRPr="00303279">
        <w:rPr>
          <w:color w:val="231F20"/>
          <w:sz w:val="22"/>
          <w:szCs w:val="22"/>
        </w:rPr>
        <w:t xml:space="preserve">Students will be required to follow a course of study that includes taking graduate and undergraduate courses concurrently. Students are required to consult their academic advisor prior to registering for any course. A proper sequence of courses is required for students to complete the two degrees in the five-year time frame. </w:t>
      </w:r>
      <w:r w:rsidRPr="00303279">
        <w:rPr>
          <w:color w:val="231F20"/>
          <w:sz w:val="22"/>
          <w:szCs w:val="22"/>
          <w:u w:val="single" w:color="231F20"/>
        </w:rPr>
        <w:t xml:space="preserve">Students will take the first four courses </w:t>
      </w:r>
      <w:r w:rsidR="00EF6527" w:rsidRPr="00303279">
        <w:rPr>
          <w:color w:val="231F20"/>
          <w:sz w:val="22"/>
          <w:szCs w:val="22"/>
          <w:u w:val="single" w:color="231F20"/>
        </w:rPr>
        <w:t>in the MPS at UINDY</w:t>
      </w:r>
      <w:r w:rsidR="00E81D76" w:rsidRPr="00303279">
        <w:rPr>
          <w:color w:val="231F20"/>
          <w:sz w:val="22"/>
          <w:szCs w:val="22"/>
          <w:u w:val="single" w:color="231F20"/>
        </w:rPr>
        <w:t xml:space="preserve"> during their senior </w:t>
      </w:r>
      <w:r w:rsidR="00E81D76" w:rsidRPr="0007383A">
        <w:rPr>
          <w:color w:val="231F20"/>
          <w:sz w:val="22"/>
          <w:szCs w:val="22"/>
          <w:u w:val="single" w:color="231F20"/>
        </w:rPr>
        <w:t>year</w:t>
      </w:r>
      <w:r w:rsidR="002E7980" w:rsidRPr="0007383A">
        <w:rPr>
          <w:color w:val="231F20"/>
          <w:sz w:val="22"/>
          <w:szCs w:val="22"/>
          <w:u w:val="single" w:color="231F20"/>
        </w:rPr>
        <w:t xml:space="preserve"> at IUPUI</w:t>
      </w:r>
      <w:r w:rsidR="0007383A" w:rsidRPr="0007383A">
        <w:rPr>
          <w:color w:val="231F20"/>
          <w:w w:val="95"/>
        </w:rPr>
        <w:t>,</w:t>
      </w:r>
      <w:r w:rsidR="0007383A">
        <w:rPr>
          <w:color w:val="231F20"/>
          <w:w w:val="95"/>
        </w:rPr>
        <w:t xml:space="preserve"> </w:t>
      </w:r>
      <w:r w:rsidR="0007383A" w:rsidRPr="0007383A">
        <w:rPr>
          <w:color w:val="231F20"/>
          <w:w w:val="95"/>
        </w:rPr>
        <w:t>as shown on the following page.</w:t>
      </w:r>
    </w:p>
    <w:p w:rsidR="0014604E" w:rsidRPr="00303279" w:rsidRDefault="0014604E" w:rsidP="00303279">
      <w:pPr>
        <w:pStyle w:val="Heading2"/>
        <w:spacing w:before="151"/>
        <w:ind w:left="117"/>
        <w:jc w:val="both"/>
        <w:rPr>
          <w:color w:val="231F20"/>
          <w:w w:val="95"/>
        </w:rPr>
      </w:pPr>
    </w:p>
    <w:p w:rsidR="0014604E" w:rsidRDefault="0014604E">
      <w:pPr>
        <w:pStyle w:val="Heading2"/>
        <w:spacing w:before="151"/>
        <w:ind w:left="117"/>
        <w:rPr>
          <w:color w:val="231F20"/>
          <w:w w:val="95"/>
        </w:rPr>
      </w:pPr>
    </w:p>
    <w:p w:rsidR="0014604E" w:rsidRDefault="0014604E">
      <w:pPr>
        <w:pStyle w:val="Heading2"/>
        <w:spacing w:before="151"/>
        <w:ind w:left="117"/>
        <w:rPr>
          <w:color w:val="231F20"/>
          <w:w w:val="95"/>
        </w:rPr>
      </w:pPr>
    </w:p>
    <w:p w:rsidR="00E81D76" w:rsidRDefault="00E81D76">
      <w:pPr>
        <w:pStyle w:val="Heading2"/>
        <w:spacing w:before="151"/>
        <w:ind w:left="117"/>
        <w:rPr>
          <w:color w:val="231F20"/>
          <w:w w:val="95"/>
        </w:rPr>
      </w:pPr>
    </w:p>
    <w:tbl>
      <w:tblPr>
        <w:tblStyle w:val="TableGrid"/>
        <w:tblpPr w:leftFromText="180" w:rightFromText="180" w:vertAnchor="page" w:horzAnchor="margin" w:tblpXSpec="center" w:tblpY="856"/>
        <w:tblW w:w="11423" w:type="dxa"/>
        <w:tblLook w:val="04A0" w:firstRow="1" w:lastRow="0" w:firstColumn="1" w:lastColumn="0" w:noHBand="0" w:noVBand="1"/>
      </w:tblPr>
      <w:tblGrid>
        <w:gridCol w:w="1525"/>
        <w:gridCol w:w="4135"/>
        <w:gridCol w:w="1600"/>
        <w:gridCol w:w="4163"/>
      </w:tblGrid>
      <w:tr w:rsidR="00E81D76" w:rsidTr="00E81D76">
        <w:trPr>
          <w:trHeight w:val="1055"/>
        </w:trPr>
        <w:tc>
          <w:tcPr>
            <w:tcW w:w="11423" w:type="dxa"/>
            <w:gridSpan w:val="4"/>
            <w:tcBorders>
              <w:bottom w:val="single" w:sz="4" w:space="0" w:color="auto"/>
            </w:tcBorders>
            <w:shd w:val="clear" w:color="auto" w:fill="EAF1DD" w:themeFill="accent3" w:themeFillTint="33"/>
          </w:tcPr>
          <w:p w:rsidR="00E81D76" w:rsidRDefault="00E81D76" w:rsidP="00E81D76">
            <w:pPr>
              <w:rPr>
                <w:b/>
              </w:rPr>
            </w:pPr>
          </w:p>
          <w:p w:rsidR="00E81D76" w:rsidRDefault="00E81D76" w:rsidP="00E81D76">
            <w:pPr>
              <w:jc w:val="center"/>
              <w:rPr>
                <w:rFonts w:asciiTheme="minorHAnsi" w:hAnsiTheme="minorHAnsi"/>
                <w:b/>
                <w:sz w:val="28"/>
                <w:szCs w:val="28"/>
              </w:rPr>
            </w:pPr>
            <w:r w:rsidRPr="004B6F7C">
              <w:rPr>
                <w:rFonts w:asciiTheme="minorHAnsi" w:hAnsiTheme="minorHAnsi"/>
                <w:b/>
                <w:sz w:val="28"/>
                <w:szCs w:val="28"/>
              </w:rPr>
              <w:t xml:space="preserve">CONSTRUCTION </w:t>
            </w:r>
            <w:r>
              <w:rPr>
                <w:rFonts w:asciiTheme="minorHAnsi" w:hAnsiTheme="minorHAnsi"/>
                <w:b/>
                <w:sz w:val="28"/>
                <w:szCs w:val="28"/>
              </w:rPr>
              <w:t>MANAGEMENT</w:t>
            </w:r>
          </w:p>
          <w:p w:rsidR="00E81D76" w:rsidRPr="004B6F7C" w:rsidRDefault="00E81D76" w:rsidP="00E81D76">
            <w:pPr>
              <w:jc w:val="center"/>
              <w:rPr>
                <w:rFonts w:asciiTheme="minorHAnsi" w:hAnsiTheme="minorHAnsi"/>
                <w:b/>
                <w:sz w:val="28"/>
                <w:szCs w:val="28"/>
              </w:rPr>
            </w:pPr>
            <w:r w:rsidRPr="008F68FE">
              <w:rPr>
                <w:rFonts w:asciiTheme="minorHAnsi" w:hAnsiTheme="minorHAnsi"/>
                <w:b/>
                <w:sz w:val="24"/>
                <w:szCs w:val="24"/>
              </w:rPr>
              <w:t>4+1 University of Indianapolis</w:t>
            </w:r>
            <w:r>
              <w:rPr>
                <w:rFonts w:asciiTheme="minorHAnsi" w:hAnsiTheme="minorHAnsi"/>
                <w:b/>
                <w:sz w:val="28"/>
                <w:szCs w:val="28"/>
              </w:rPr>
              <w:t xml:space="preserve"> </w:t>
            </w:r>
          </w:p>
          <w:p w:rsidR="00E81D76" w:rsidRPr="004B6F7C" w:rsidRDefault="00E81D76" w:rsidP="00E81D76">
            <w:pPr>
              <w:jc w:val="center"/>
              <w:rPr>
                <w:rFonts w:asciiTheme="minorHAnsi" w:hAnsiTheme="minorHAnsi"/>
                <w:b/>
              </w:rPr>
            </w:pPr>
            <w:r w:rsidRPr="004B6F7C">
              <w:rPr>
                <w:rFonts w:asciiTheme="minorHAnsi" w:hAnsiTheme="minorHAnsi"/>
                <w:b/>
              </w:rPr>
              <w:t>(all courses are 3 credits unless otherwise noted)</w:t>
            </w:r>
          </w:p>
          <w:p w:rsidR="00E81D76" w:rsidRDefault="00E81D76" w:rsidP="00E81D76">
            <w:pPr>
              <w:rPr>
                <w:b/>
              </w:rPr>
            </w:pPr>
          </w:p>
        </w:tc>
      </w:tr>
      <w:tr w:rsidR="00E81D76" w:rsidRPr="00C505D3" w:rsidTr="00E81D76">
        <w:trPr>
          <w:trHeight w:val="189"/>
        </w:trPr>
        <w:tc>
          <w:tcPr>
            <w:tcW w:w="5660" w:type="dxa"/>
            <w:gridSpan w:val="2"/>
            <w:shd w:val="clear" w:color="auto" w:fill="FFFF99"/>
          </w:tcPr>
          <w:p w:rsidR="00E81D76" w:rsidRPr="00C505D3" w:rsidRDefault="00E81D76" w:rsidP="00E81D76">
            <w:pPr>
              <w:jc w:val="center"/>
              <w:rPr>
                <w:rFonts w:asciiTheme="minorHAnsi" w:hAnsiTheme="minorHAnsi"/>
                <w:b/>
              </w:rPr>
            </w:pPr>
            <w:r w:rsidRPr="00C505D3">
              <w:rPr>
                <w:rFonts w:asciiTheme="minorHAnsi" w:hAnsiTheme="minorHAnsi"/>
                <w:b/>
              </w:rPr>
              <w:t>Semester 1 (1</w:t>
            </w:r>
            <w:r>
              <w:rPr>
                <w:rFonts w:asciiTheme="minorHAnsi" w:hAnsiTheme="minorHAnsi"/>
                <w:b/>
              </w:rPr>
              <w:t>6</w:t>
            </w:r>
            <w:r w:rsidRPr="00C505D3">
              <w:rPr>
                <w:rFonts w:asciiTheme="minorHAnsi" w:hAnsiTheme="minorHAnsi"/>
                <w:b/>
              </w:rPr>
              <w:t xml:space="preserve"> cr.)</w:t>
            </w:r>
          </w:p>
        </w:tc>
        <w:tc>
          <w:tcPr>
            <w:tcW w:w="5763" w:type="dxa"/>
            <w:gridSpan w:val="2"/>
            <w:shd w:val="clear" w:color="auto" w:fill="FFFF99"/>
          </w:tcPr>
          <w:p w:rsidR="00E81D76" w:rsidRPr="00C505D3" w:rsidRDefault="00E81D76" w:rsidP="00E81D76">
            <w:pPr>
              <w:jc w:val="center"/>
              <w:rPr>
                <w:rFonts w:asciiTheme="minorHAnsi" w:hAnsiTheme="minorHAnsi"/>
                <w:b/>
              </w:rPr>
            </w:pPr>
            <w:r w:rsidRPr="00C505D3">
              <w:rPr>
                <w:rFonts w:asciiTheme="minorHAnsi" w:hAnsiTheme="minorHAnsi"/>
                <w:b/>
              </w:rPr>
              <w:t>Semester 2 (1</w:t>
            </w:r>
            <w:r>
              <w:rPr>
                <w:rFonts w:asciiTheme="minorHAnsi" w:hAnsiTheme="minorHAnsi"/>
                <w:b/>
              </w:rPr>
              <w:t>5</w:t>
            </w:r>
            <w:r w:rsidRPr="00C505D3">
              <w:rPr>
                <w:rFonts w:asciiTheme="minorHAnsi" w:hAnsiTheme="minorHAnsi"/>
                <w:b/>
              </w:rPr>
              <w:t xml:space="preserve"> cr.)</w:t>
            </w:r>
          </w:p>
        </w:tc>
      </w:tr>
      <w:tr w:rsidR="00E81D76" w:rsidRPr="00B3110E" w:rsidTr="00727E1B">
        <w:trPr>
          <w:trHeight w:val="201"/>
        </w:trPr>
        <w:tc>
          <w:tcPr>
            <w:tcW w:w="1525" w:type="dxa"/>
            <w:shd w:val="clear" w:color="auto" w:fill="auto"/>
            <w:vAlign w:val="bottom"/>
          </w:tcPr>
          <w:p w:rsidR="00E81D76" w:rsidRPr="00E81D76" w:rsidRDefault="00E81D76" w:rsidP="00E81D76">
            <w:pPr>
              <w:rPr>
                <w:rFonts w:eastAsia="Times New Roman" w:cs="Arial"/>
                <w:sz w:val="20"/>
                <w:szCs w:val="20"/>
              </w:rPr>
            </w:pPr>
            <w:r w:rsidRPr="00E81D76">
              <w:rPr>
                <w:rFonts w:eastAsia="Times New Roman" w:cs="Arial"/>
                <w:sz w:val="20"/>
                <w:szCs w:val="20"/>
              </w:rPr>
              <w:t>CEMT 10500</w:t>
            </w:r>
          </w:p>
        </w:tc>
        <w:tc>
          <w:tcPr>
            <w:tcW w:w="4135" w:type="dxa"/>
            <w:vAlign w:val="center"/>
          </w:tcPr>
          <w:p w:rsidR="00E81D76" w:rsidRPr="00E81D76" w:rsidRDefault="00E81D76" w:rsidP="00E81D76">
            <w:pPr>
              <w:rPr>
                <w:rFonts w:eastAsia="Times New Roman" w:cs="Arial"/>
                <w:sz w:val="20"/>
                <w:szCs w:val="20"/>
              </w:rPr>
            </w:pPr>
            <w:r w:rsidRPr="00E81D76">
              <w:rPr>
                <w:rFonts w:eastAsia="Times New Roman" w:cs="Arial"/>
                <w:sz w:val="20"/>
                <w:szCs w:val="20"/>
              </w:rPr>
              <w:t>Introduction to Construction Technology</w:t>
            </w:r>
          </w:p>
        </w:tc>
        <w:tc>
          <w:tcPr>
            <w:tcW w:w="1600" w:type="dxa"/>
            <w:vAlign w:val="center"/>
          </w:tcPr>
          <w:p w:rsidR="00E81D76" w:rsidRPr="00E81D76" w:rsidRDefault="00E81D76" w:rsidP="00E81D76">
            <w:pPr>
              <w:rPr>
                <w:rFonts w:eastAsia="Times New Roman" w:cs="Arial"/>
                <w:sz w:val="20"/>
                <w:szCs w:val="20"/>
              </w:rPr>
            </w:pPr>
            <w:r w:rsidRPr="00E81D76">
              <w:rPr>
                <w:rFonts w:eastAsia="Times New Roman" w:cs="Arial"/>
                <w:sz w:val="20"/>
                <w:szCs w:val="20"/>
              </w:rPr>
              <w:t>CEMT 10400</w:t>
            </w:r>
          </w:p>
        </w:tc>
        <w:tc>
          <w:tcPr>
            <w:tcW w:w="4163" w:type="dxa"/>
            <w:vAlign w:val="center"/>
          </w:tcPr>
          <w:p w:rsidR="00E81D76" w:rsidRPr="00E81D76" w:rsidRDefault="00E81D76" w:rsidP="00E81D76">
            <w:pPr>
              <w:rPr>
                <w:rFonts w:eastAsia="Times New Roman" w:cs="Arial"/>
                <w:sz w:val="20"/>
                <w:szCs w:val="20"/>
              </w:rPr>
            </w:pPr>
            <w:r w:rsidRPr="00E81D76">
              <w:rPr>
                <w:rFonts w:eastAsia="Times New Roman" w:cs="Arial"/>
                <w:sz w:val="20"/>
                <w:szCs w:val="20"/>
              </w:rPr>
              <w:t>Fundamentals of Surveying</w:t>
            </w:r>
          </w:p>
        </w:tc>
      </w:tr>
      <w:tr w:rsidR="003D53C5" w:rsidRPr="008F68FE" w:rsidTr="00727E1B">
        <w:trPr>
          <w:trHeight w:val="189"/>
        </w:trPr>
        <w:tc>
          <w:tcPr>
            <w:tcW w:w="1525" w:type="dxa"/>
            <w:shd w:val="clear" w:color="auto" w:fill="auto"/>
            <w:vAlign w:val="bottom"/>
          </w:tcPr>
          <w:p w:rsidR="003D53C5" w:rsidRPr="00E81D76" w:rsidRDefault="003D53C5" w:rsidP="003D53C5">
            <w:pPr>
              <w:rPr>
                <w:rFonts w:eastAsia="Times New Roman" w:cs="Arial"/>
                <w:sz w:val="20"/>
                <w:szCs w:val="20"/>
              </w:rPr>
            </w:pPr>
            <w:r w:rsidRPr="00E81D76">
              <w:rPr>
                <w:rFonts w:eastAsia="Times New Roman" w:cs="Arial"/>
                <w:sz w:val="20"/>
                <w:szCs w:val="20"/>
              </w:rPr>
              <w:t>TECH 10200</w:t>
            </w:r>
          </w:p>
        </w:tc>
        <w:tc>
          <w:tcPr>
            <w:tcW w:w="4135" w:type="dxa"/>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Discovering Technology (1 cr.)</w:t>
            </w:r>
          </w:p>
        </w:tc>
        <w:tc>
          <w:tcPr>
            <w:tcW w:w="1600" w:type="dxa"/>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CEMT 11000</w:t>
            </w:r>
          </w:p>
        </w:tc>
        <w:tc>
          <w:tcPr>
            <w:tcW w:w="4163" w:type="dxa"/>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Construction Accounting</w:t>
            </w:r>
          </w:p>
        </w:tc>
      </w:tr>
      <w:tr w:rsidR="003D53C5" w:rsidRPr="008F68FE" w:rsidTr="00727E1B">
        <w:trPr>
          <w:trHeight w:val="257"/>
        </w:trPr>
        <w:tc>
          <w:tcPr>
            <w:tcW w:w="1525" w:type="dxa"/>
            <w:shd w:val="clear" w:color="auto" w:fill="auto"/>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Cultural Under</w:t>
            </w:r>
          </w:p>
        </w:tc>
        <w:tc>
          <w:tcPr>
            <w:tcW w:w="4135" w:type="dxa"/>
            <w:vAlign w:val="center"/>
          </w:tcPr>
          <w:p w:rsidR="003D53C5" w:rsidRPr="00E81D76" w:rsidRDefault="001A2FAC" w:rsidP="003D53C5">
            <w:pPr>
              <w:rPr>
                <w:rFonts w:cs="Arial"/>
                <w:sz w:val="20"/>
                <w:szCs w:val="20"/>
              </w:rPr>
            </w:pPr>
            <w:hyperlink r:id="rId7" w:history="1">
              <w:r w:rsidR="003D53C5" w:rsidRPr="00727E1B">
                <w:rPr>
                  <w:rStyle w:val="Hyperlink"/>
                  <w:rFonts w:cs="Arial"/>
                  <w:sz w:val="20"/>
                  <w:szCs w:val="20"/>
                </w:rPr>
                <w:t>Cultural Understanding</w:t>
              </w:r>
            </w:hyperlink>
          </w:p>
        </w:tc>
        <w:tc>
          <w:tcPr>
            <w:tcW w:w="1600" w:type="dxa"/>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CEMT 12000</w:t>
            </w:r>
          </w:p>
        </w:tc>
        <w:tc>
          <w:tcPr>
            <w:tcW w:w="4163" w:type="dxa"/>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Construction Materials and Systems</w:t>
            </w:r>
          </w:p>
        </w:tc>
      </w:tr>
      <w:tr w:rsidR="003D53C5" w:rsidRPr="00B3110E" w:rsidTr="00727E1B">
        <w:trPr>
          <w:trHeight w:val="189"/>
        </w:trPr>
        <w:tc>
          <w:tcPr>
            <w:tcW w:w="1525" w:type="dxa"/>
            <w:shd w:val="clear" w:color="auto" w:fill="auto"/>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COMM R110</w:t>
            </w:r>
          </w:p>
        </w:tc>
        <w:tc>
          <w:tcPr>
            <w:tcW w:w="4135" w:type="dxa"/>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Fundamentals of Speech Communication</w:t>
            </w:r>
          </w:p>
        </w:tc>
        <w:tc>
          <w:tcPr>
            <w:tcW w:w="1600" w:type="dxa"/>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TCM 22000</w:t>
            </w:r>
          </w:p>
        </w:tc>
        <w:tc>
          <w:tcPr>
            <w:tcW w:w="4163" w:type="dxa"/>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Technical Report Writing</w:t>
            </w:r>
          </w:p>
        </w:tc>
      </w:tr>
      <w:tr w:rsidR="003D53C5" w:rsidRPr="00B3110E" w:rsidTr="00727E1B">
        <w:trPr>
          <w:trHeight w:val="201"/>
        </w:trPr>
        <w:tc>
          <w:tcPr>
            <w:tcW w:w="1525" w:type="dxa"/>
            <w:shd w:val="clear" w:color="auto" w:fill="auto"/>
            <w:vAlign w:val="bottom"/>
          </w:tcPr>
          <w:p w:rsidR="003D53C5" w:rsidRPr="00E81D76" w:rsidRDefault="003D53C5" w:rsidP="003D53C5">
            <w:pPr>
              <w:rPr>
                <w:rFonts w:eastAsia="Times New Roman" w:cs="Arial"/>
                <w:sz w:val="20"/>
                <w:szCs w:val="20"/>
              </w:rPr>
            </w:pPr>
            <w:r w:rsidRPr="00E81D76">
              <w:rPr>
                <w:rFonts w:eastAsia="Times New Roman" w:cs="Arial"/>
                <w:sz w:val="20"/>
                <w:szCs w:val="20"/>
              </w:rPr>
              <w:t>ENG-W131</w:t>
            </w:r>
          </w:p>
        </w:tc>
        <w:tc>
          <w:tcPr>
            <w:tcW w:w="4135" w:type="dxa"/>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Reading, Writing, and Inquiry</w:t>
            </w:r>
          </w:p>
        </w:tc>
        <w:tc>
          <w:tcPr>
            <w:tcW w:w="1600" w:type="dxa"/>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MATH 15400</w:t>
            </w:r>
          </w:p>
        </w:tc>
        <w:tc>
          <w:tcPr>
            <w:tcW w:w="4163" w:type="dxa"/>
            <w:vAlign w:val="center"/>
          </w:tcPr>
          <w:p w:rsidR="003D53C5" w:rsidRPr="00E81D76" w:rsidRDefault="003D53C5" w:rsidP="003D53C5">
            <w:pPr>
              <w:rPr>
                <w:rFonts w:eastAsia="Times New Roman" w:cs="Arial"/>
                <w:sz w:val="20"/>
                <w:szCs w:val="20"/>
              </w:rPr>
            </w:pPr>
            <w:r w:rsidRPr="00E81D76">
              <w:rPr>
                <w:rFonts w:eastAsia="Times New Roman" w:cs="Arial"/>
                <w:sz w:val="20"/>
                <w:szCs w:val="20"/>
              </w:rPr>
              <w:t>Trigonometry</w:t>
            </w:r>
          </w:p>
        </w:tc>
      </w:tr>
      <w:tr w:rsidR="00805646" w:rsidRPr="00C505D3" w:rsidTr="00727E1B">
        <w:trPr>
          <w:trHeight w:val="189"/>
        </w:trPr>
        <w:tc>
          <w:tcPr>
            <w:tcW w:w="1525" w:type="dxa"/>
            <w:shd w:val="clear" w:color="auto" w:fill="auto"/>
            <w:vAlign w:val="bottom"/>
          </w:tcPr>
          <w:p w:rsidR="00805646" w:rsidRPr="00E81D76" w:rsidRDefault="00805646" w:rsidP="00805646">
            <w:pPr>
              <w:rPr>
                <w:rFonts w:eastAsia="Times New Roman" w:cs="Arial"/>
                <w:sz w:val="20"/>
                <w:szCs w:val="20"/>
              </w:rPr>
            </w:pPr>
            <w:r w:rsidRPr="00E81D76">
              <w:rPr>
                <w:rFonts w:eastAsia="Times New Roman" w:cs="Arial"/>
                <w:sz w:val="20"/>
                <w:szCs w:val="20"/>
              </w:rPr>
              <w:t>MATH 15300</w:t>
            </w:r>
          </w:p>
        </w:tc>
        <w:tc>
          <w:tcPr>
            <w:tcW w:w="4135"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College Algebra</w:t>
            </w:r>
          </w:p>
        </w:tc>
        <w:tc>
          <w:tcPr>
            <w:tcW w:w="1600" w:type="dxa"/>
            <w:vAlign w:val="center"/>
          </w:tcPr>
          <w:p w:rsidR="00805646" w:rsidRPr="00E81D76" w:rsidRDefault="00805646" w:rsidP="00805646">
            <w:pPr>
              <w:rPr>
                <w:rFonts w:eastAsia="Times New Roman" w:cstheme="minorHAnsi"/>
                <w:sz w:val="20"/>
                <w:szCs w:val="20"/>
              </w:rPr>
            </w:pPr>
          </w:p>
        </w:tc>
        <w:tc>
          <w:tcPr>
            <w:tcW w:w="4163" w:type="dxa"/>
            <w:vAlign w:val="center"/>
          </w:tcPr>
          <w:p w:rsidR="00805646" w:rsidRPr="00E81D76" w:rsidRDefault="00805646" w:rsidP="00805646">
            <w:pPr>
              <w:rPr>
                <w:rFonts w:eastAsia="Times New Roman" w:cstheme="minorHAnsi"/>
                <w:sz w:val="20"/>
                <w:szCs w:val="20"/>
              </w:rPr>
            </w:pPr>
          </w:p>
        </w:tc>
      </w:tr>
      <w:tr w:rsidR="00805646" w:rsidRPr="00C505D3" w:rsidTr="00E81D76">
        <w:trPr>
          <w:trHeight w:val="201"/>
        </w:trPr>
        <w:tc>
          <w:tcPr>
            <w:tcW w:w="5660" w:type="dxa"/>
            <w:gridSpan w:val="2"/>
            <w:shd w:val="clear" w:color="auto" w:fill="FFFF99"/>
            <w:vAlign w:val="center"/>
          </w:tcPr>
          <w:p w:rsidR="00805646" w:rsidRPr="00E81D76" w:rsidRDefault="00805646" w:rsidP="00805646">
            <w:pPr>
              <w:jc w:val="center"/>
              <w:rPr>
                <w:b/>
                <w:sz w:val="20"/>
                <w:szCs w:val="20"/>
              </w:rPr>
            </w:pPr>
            <w:r w:rsidRPr="00E81D76">
              <w:rPr>
                <w:b/>
                <w:sz w:val="20"/>
                <w:szCs w:val="20"/>
              </w:rPr>
              <w:t>Semester 3 (16 cr.)</w:t>
            </w:r>
          </w:p>
        </w:tc>
        <w:tc>
          <w:tcPr>
            <w:tcW w:w="5763" w:type="dxa"/>
            <w:gridSpan w:val="2"/>
            <w:shd w:val="clear" w:color="auto" w:fill="FFFF99"/>
            <w:vAlign w:val="center"/>
          </w:tcPr>
          <w:p w:rsidR="00805646" w:rsidRPr="00E81D76" w:rsidRDefault="00805646" w:rsidP="00805646">
            <w:pPr>
              <w:jc w:val="center"/>
              <w:rPr>
                <w:b/>
                <w:sz w:val="20"/>
                <w:szCs w:val="20"/>
              </w:rPr>
            </w:pPr>
            <w:r w:rsidRPr="00E81D76">
              <w:rPr>
                <w:b/>
                <w:sz w:val="20"/>
                <w:szCs w:val="20"/>
              </w:rPr>
              <w:t>Semester 4 (15 cr.)</w:t>
            </w:r>
          </w:p>
        </w:tc>
      </w:tr>
      <w:tr w:rsidR="00805646" w:rsidRPr="00B3110E" w:rsidTr="00727E1B">
        <w:trPr>
          <w:trHeight w:val="145"/>
        </w:trPr>
        <w:tc>
          <w:tcPr>
            <w:tcW w:w="1525"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CEMT 21500</w:t>
            </w:r>
          </w:p>
        </w:tc>
        <w:tc>
          <w:tcPr>
            <w:tcW w:w="4135"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Mechanical &amp; Electrical Systems</w:t>
            </w:r>
          </w:p>
        </w:tc>
        <w:tc>
          <w:tcPr>
            <w:tcW w:w="1600"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CEMT 16000</w:t>
            </w:r>
          </w:p>
        </w:tc>
        <w:tc>
          <w:tcPr>
            <w:tcW w:w="4163"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Statics</w:t>
            </w:r>
          </w:p>
        </w:tc>
      </w:tr>
      <w:tr w:rsidR="00805646" w:rsidRPr="00B3110E" w:rsidTr="00727E1B">
        <w:trPr>
          <w:trHeight w:val="189"/>
        </w:trPr>
        <w:tc>
          <w:tcPr>
            <w:tcW w:w="1525"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ECON-E 201</w:t>
            </w:r>
          </w:p>
        </w:tc>
        <w:tc>
          <w:tcPr>
            <w:tcW w:w="4135"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Microeconomics</w:t>
            </w:r>
          </w:p>
        </w:tc>
        <w:tc>
          <w:tcPr>
            <w:tcW w:w="1600"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CEMT 28000</w:t>
            </w:r>
          </w:p>
        </w:tc>
        <w:tc>
          <w:tcPr>
            <w:tcW w:w="4163"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Quantity Survey</w:t>
            </w:r>
          </w:p>
        </w:tc>
      </w:tr>
      <w:tr w:rsidR="00805646" w:rsidRPr="00B3110E" w:rsidTr="00727E1B">
        <w:trPr>
          <w:trHeight w:val="201"/>
        </w:trPr>
        <w:tc>
          <w:tcPr>
            <w:tcW w:w="1525"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TCM 34000</w:t>
            </w:r>
          </w:p>
        </w:tc>
        <w:tc>
          <w:tcPr>
            <w:tcW w:w="4135"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Correspondence in Business &amp; Industry</w:t>
            </w:r>
          </w:p>
        </w:tc>
        <w:tc>
          <w:tcPr>
            <w:tcW w:w="1600"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ECON-E 20</w:t>
            </w:r>
            <w:r>
              <w:rPr>
                <w:rFonts w:eastAsia="Times New Roman" w:cs="Arial"/>
                <w:sz w:val="20"/>
                <w:szCs w:val="20"/>
              </w:rPr>
              <w:t>2</w:t>
            </w:r>
          </w:p>
        </w:tc>
        <w:tc>
          <w:tcPr>
            <w:tcW w:w="4163" w:type="dxa"/>
            <w:vAlign w:val="center"/>
          </w:tcPr>
          <w:p w:rsidR="00805646" w:rsidRPr="00E81D76" w:rsidRDefault="00805646" w:rsidP="00805646">
            <w:pPr>
              <w:rPr>
                <w:rFonts w:eastAsia="Times New Roman" w:cs="Arial"/>
                <w:sz w:val="20"/>
                <w:szCs w:val="20"/>
              </w:rPr>
            </w:pPr>
            <w:r w:rsidRPr="00E81D76">
              <w:rPr>
                <w:rFonts w:eastAsia="Times New Roman" w:cs="Arial"/>
                <w:sz w:val="20"/>
                <w:szCs w:val="20"/>
              </w:rPr>
              <w:t>M</w:t>
            </w:r>
            <w:r>
              <w:rPr>
                <w:rFonts w:eastAsia="Times New Roman" w:cs="Arial"/>
                <w:sz w:val="20"/>
                <w:szCs w:val="20"/>
              </w:rPr>
              <w:t>a</w:t>
            </w:r>
            <w:r w:rsidRPr="00E81D76">
              <w:rPr>
                <w:rFonts w:eastAsia="Times New Roman" w:cs="Arial"/>
                <w:sz w:val="20"/>
                <w:szCs w:val="20"/>
              </w:rPr>
              <w:t>croeconomics</w:t>
            </w:r>
          </w:p>
        </w:tc>
      </w:tr>
      <w:tr w:rsidR="00805646" w:rsidRPr="00F75DDD" w:rsidTr="00727E1B">
        <w:trPr>
          <w:trHeight w:val="189"/>
        </w:trPr>
        <w:tc>
          <w:tcPr>
            <w:tcW w:w="1525" w:type="dxa"/>
            <w:vAlign w:val="center"/>
          </w:tcPr>
          <w:p w:rsidR="00805646" w:rsidRPr="00E81D76" w:rsidRDefault="00805646" w:rsidP="00805646">
            <w:pPr>
              <w:rPr>
                <w:rFonts w:eastAsia="Times New Roman" w:cstheme="minorHAnsi"/>
                <w:sz w:val="20"/>
                <w:szCs w:val="20"/>
              </w:rPr>
            </w:pPr>
            <w:r w:rsidRPr="00E81D76">
              <w:rPr>
                <w:rFonts w:eastAsia="Times New Roman" w:cstheme="minorHAnsi"/>
                <w:sz w:val="20"/>
                <w:szCs w:val="20"/>
              </w:rPr>
              <w:t>Science Elect</w:t>
            </w:r>
          </w:p>
        </w:tc>
        <w:tc>
          <w:tcPr>
            <w:tcW w:w="4135" w:type="dxa"/>
            <w:vAlign w:val="center"/>
          </w:tcPr>
          <w:p w:rsidR="00805646" w:rsidRPr="00E81D76" w:rsidRDefault="00805646" w:rsidP="00805646">
            <w:pPr>
              <w:rPr>
                <w:rFonts w:cstheme="minorHAnsi"/>
                <w:sz w:val="20"/>
                <w:szCs w:val="20"/>
              </w:rPr>
            </w:pPr>
            <w:r w:rsidRPr="00E81D76">
              <w:rPr>
                <w:rFonts w:cstheme="minorHAnsi"/>
                <w:sz w:val="20"/>
                <w:szCs w:val="20"/>
              </w:rPr>
              <w:t>CHEM C101&amp;C121 or GEOL G107&amp;G117 (4 cr.)</w:t>
            </w:r>
          </w:p>
        </w:tc>
        <w:tc>
          <w:tcPr>
            <w:tcW w:w="1600" w:type="dxa"/>
            <w:vAlign w:val="center"/>
          </w:tcPr>
          <w:p w:rsidR="00805646" w:rsidRPr="00E81D76" w:rsidRDefault="00805646" w:rsidP="00805646">
            <w:pPr>
              <w:rPr>
                <w:rFonts w:eastAsia="Times New Roman" w:cstheme="minorHAnsi"/>
                <w:sz w:val="20"/>
                <w:szCs w:val="20"/>
              </w:rPr>
            </w:pPr>
            <w:r w:rsidRPr="00E81D76">
              <w:rPr>
                <w:rFonts w:eastAsia="Times New Roman" w:cstheme="minorHAnsi"/>
                <w:sz w:val="20"/>
                <w:szCs w:val="20"/>
              </w:rPr>
              <w:t>MATH 22100</w:t>
            </w:r>
          </w:p>
        </w:tc>
        <w:tc>
          <w:tcPr>
            <w:tcW w:w="4163" w:type="dxa"/>
            <w:vAlign w:val="center"/>
          </w:tcPr>
          <w:p w:rsidR="00805646" w:rsidRPr="00E81D76" w:rsidRDefault="00805646" w:rsidP="00805646">
            <w:pPr>
              <w:rPr>
                <w:rFonts w:eastAsia="Times New Roman" w:cstheme="minorHAnsi"/>
                <w:sz w:val="20"/>
                <w:szCs w:val="20"/>
              </w:rPr>
            </w:pPr>
            <w:r w:rsidRPr="00E81D76">
              <w:rPr>
                <w:rFonts w:eastAsia="Times New Roman" w:cstheme="minorHAnsi"/>
                <w:sz w:val="20"/>
                <w:szCs w:val="20"/>
              </w:rPr>
              <w:t>Calculus for Technology</w:t>
            </w:r>
          </w:p>
        </w:tc>
      </w:tr>
      <w:tr w:rsidR="00805646" w:rsidRPr="00F75DDD" w:rsidTr="00727E1B">
        <w:trPr>
          <w:trHeight w:val="257"/>
        </w:trPr>
        <w:tc>
          <w:tcPr>
            <w:tcW w:w="1525" w:type="dxa"/>
            <w:vAlign w:val="center"/>
          </w:tcPr>
          <w:p w:rsidR="00805646" w:rsidRPr="00E81D76" w:rsidRDefault="00805646" w:rsidP="00805646">
            <w:pPr>
              <w:rPr>
                <w:rFonts w:eastAsia="Times New Roman" w:cstheme="minorHAnsi"/>
                <w:sz w:val="20"/>
                <w:szCs w:val="20"/>
              </w:rPr>
            </w:pPr>
            <w:r w:rsidRPr="00E81D76">
              <w:rPr>
                <w:rFonts w:cstheme="minorHAnsi"/>
                <w:sz w:val="20"/>
                <w:szCs w:val="20"/>
              </w:rPr>
              <w:t>BUS-L 203</w:t>
            </w:r>
          </w:p>
        </w:tc>
        <w:tc>
          <w:tcPr>
            <w:tcW w:w="4135" w:type="dxa"/>
            <w:vAlign w:val="center"/>
          </w:tcPr>
          <w:p w:rsidR="00805646" w:rsidRPr="00E81D76" w:rsidRDefault="00805646" w:rsidP="00805646">
            <w:pPr>
              <w:rPr>
                <w:rFonts w:eastAsia="Times New Roman" w:cstheme="minorHAnsi"/>
                <w:sz w:val="20"/>
                <w:szCs w:val="20"/>
              </w:rPr>
            </w:pPr>
            <w:r w:rsidRPr="00E81D76">
              <w:rPr>
                <w:rFonts w:cstheme="minorHAnsi"/>
                <w:sz w:val="20"/>
                <w:szCs w:val="20"/>
              </w:rPr>
              <w:t>Commercial Law I</w:t>
            </w:r>
          </w:p>
        </w:tc>
        <w:tc>
          <w:tcPr>
            <w:tcW w:w="1600" w:type="dxa"/>
            <w:vAlign w:val="center"/>
          </w:tcPr>
          <w:p w:rsidR="00805646" w:rsidRPr="00E81D76" w:rsidRDefault="00805646" w:rsidP="00805646">
            <w:pPr>
              <w:rPr>
                <w:rFonts w:eastAsia="Times New Roman" w:cstheme="minorHAnsi"/>
                <w:sz w:val="20"/>
                <w:szCs w:val="20"/>
              </w:rPr>
            </w:pPr>
            <w:r w:rsidRPr="00E81D76">
              <w:rPr>
                <w:rFonts w:eastAsia="Times New Roman" w:cstheme="minorHAnsi"/>
                <w:sz w:val="20"/>
                <w:szCs w:val="20"/>
              </w:rPr>
              <w:t>Arts/Humanit</w:t>
            </w:r>
            <w:r>
              <w:rPr>
                <w:rFonts w:eastAsia="Times New Roman" w:cstheme="minorHAnsi"/>
                <w:sz w:val="20"/>
                <w:szCs w:val="20"/>
              </w:rPr>
              <w:t>ies</w:t>
            </w:r>
          </w:p>
        </w:tc>
        <w:tc>
          <w:tcPr>
            <w:tcW w:w="4163" w:type="dxa"/>
            <w:vAlign w:val="center"/>
          </w:tcPr>
          <w:p w:rsidR="00805646" w:rsidRPr="00E81D76" w:rsidRDefault="001A2FAC" w:rsidP="00805646">
            <w:pPr>
              <w:rPr>
                <w:rFonts w:eastAsia="Times New Roman" w:cstheme="minorHAnsi"/>
                <w:sz w:val="20"/>
                <w:szCs w:val="20"/>
              </w:rPr>
            </w:pPr>
            <w:hyperlink r:id="rId8" w:history="1">
              <w:r w:rsidR="00805646" w:rsidRPr="00727E1B">
                <w:rPr>
                  <w:rStyle w:val="Hyperlink"/>
                  <w:rFonts w:eastAsia="Times New Roman" w:cstheme="minorHAnsi"/>
                  <w:sz w:val="20"/>
                  <w:szCs w:val="20"/>
                </w:rPr>
                <w:t>Arts/Humanities</w:t>
              </w:r>
            </w:hyperlink>
          </w:p>
        </w:tc>
      </w:tr>
      <w:tr w:rsidR="00805646" w:rsidRPr="00F75DDD" w:rsidTr="00E81D76">
        <w:trPr>
          <w:trHeight w:val="189"/>
        </w:trPr>
        <w:tc>
          <w:tcPr>
            <w:tcW w:w="5660" w:type="dxa"/>
            <w:gridSpan w:val="2"/>
            <w:shd w:val="clear" w:color="auto" w:fill="FFFF99"/>
            <w:vAlign w:val="center"/>
          </w:tcPr>
          <w:p w:rsidR="00805646" w:rsidRPr="00E81D76" w:rsidRDefault="00805646" w:rsidP="00805646">
            <w:pPr>
              <w:jc w:val="center"/>
              <w:rPr>
                <w:rFonts w:cstheme="minorHAnsi"/>
                <w:b/>
                <w:sz w:val="20"/>
                <w:szCs w:val="20"/>
              </w:rPr>
            </w:pPr>
            <w:r w:rsidRPr="00E81D76">
              <w:rPr>
                <w:rFonts w:cstheme="minorHAnsi"/>
                <w:b/>
                <w:sz w:val="20"/>
                <w:szCs w:val="20"/>
              </w:rPr>
              <w:t>Semester 5 (1</w:t>
            </w:r>
            <w:r>
              <w:rPr>
                <w:rFonts w:cstheme="minorHAnsi"/>
                <w:b/>
                <w:sz w:val="20"/>
                <w:szCs w:val="20"/>
              </w:rPr>
              <w:t>5</w:t>
            </w:r>
            <w:r w:rsidRPr="00E81D76">
              <w:rPr>
                <w:rFonts w:cstheme="minorHAnsi"/>
                <w:b/>
                <w:sz w:val="20"/>
                <w:szCs w:val="20"/>
              </w:rPr>
              <w:t xml:space="preserve"> cr.)</w:t>
            </w:r>
          </w:p>
        </w:tc>
        <w:tc>
          <w:tcPr>
            <w:tcW w:w="5763" w:type="dxa"/>
            <w:gridSpan w:val="2"/>
            <w:shd w:val="clear" w:color="auto" w:fill="FFFF99"/>
            <w:vAlign w:val="center"/>
          </w:tcPr>
          <w:p w:rsidR="00805646" w:rsidRPr="00E81D76" w:rsidRDefault="00805646" w:rsidP="000E5317">
            <w:pPr>
              <w:jc w:val="center"/>
              <w:rPr>
                <w:rFonts w:cstheme="minorHAnsi"/>
                <w:b/>
                <w:sz w:val="20"/>
                <w:szCs w:val="20"/>
              </w:rPr>
            </w:pPr>
            <w:r w:rsidRPr="00E81D76">
              <w:rPr>
                <w:rFonts w:cstheme="minorHAnsi"/>
                <w:b/>
                <w:sz w:val="20"/>
                <w:szCs w:val="20"/>
              </w:rPr>
              <w:t>Semester 6 (1</w:t>
            </w:r>
            <w:r w:rsidR="000E5317">
              <w:rPr>
                <w:rFonts w:cstheme="minorHAnsi"/>
                <w:b/>
                <w:sz w:val="20"/>
                <w:szCs w:val="20"/>
              </w:rPr>
              <w:t>6</w:t>
            </w:r>
            <w:r w:rsidRPr="00E81D76">
              <w:rPr>
                <w:rFonts w:cstheme="minorHAnsi"/>
                <w:b/>
                <w:sz w:val="20"/>
                <w:szCs w:val="20"/>
              </w:rPr>
              <w:t xml:space="preserve"> cr.)</w:t>
            </w:r>
          </w:p>
        </w:tc>
      </w:tr>
      <w:tr w:rsidR="00805646" w:rsidRPr="00F75DDD" w:rsidTr="00727E1B">
        <w:trPr>
          <w:trHeight w:val="201"/>
        </w:trPr>
        <w:tc>
          <w:tcPr>
            <w:tcW w:w="1525" w:type="dxa"/>
            <w:vAlign w:val="bottom"/>
          </w:tcPr>
          <w:p w:rsidR="00805646" w:rsidRPr="00E81D76" w:rsidRDefault="00805646" w:rsidP="00805646">
            <w:pPr>
              <w:rPr>
                <w:rFonts w:eastAsia="Times New Roman" w:cstheme="minorHAnsi"/>
                <w:sz w:val="20"/>
                <w:szCs w:val="20"/>
              </w:rPr>
            </w:pPr>
            <w:r w:rsidRPr="00E81D76">
              <w:rPr>
                <w:rFonts w:eastAsia="Times New Roman" w:cstheme="minorHAnsi"/>
                <w:sz w:val="20"/>
                <w:szCs w:val="20"/>
              </w:rPr>
              <w:t>CEMT 26000</w:t>
            </w:r>
          </w:p>
        </w:tc>
        <w:tc>
          <w:tcPr>
            <w:tcW w:w="4135" w:type="dxa"/>
            <w:vAlign w:val="center"/>
          </w:tcPr>
          <w:p w:rsidR="00805646" w:rsidRPr="00E81D76" w:rsidRDefault="00805646" w:rsidP="00805646">
            <w:pPr>
              <w:rPr>
                <w:rFonts w:cstheme="minorHAnsi"/>
                <w:sz w:val="20"/>
                <w:szCs w:val="20"/>
              </w:rPr>
            </w:pPr>
            <w:r w:rsidRPr="00E81D76">
              <w:rPr>
                <w:rFonts w:cstheme="minorHAnsi"/>
                <w:sz w:val="20"/>
                <w:szCs w:val="20"/>
              </w:rPr>
              <w:t>Strength of Materials</w:t>
            </w:r>
          </w:p>
        </w:tc>
        <w:tc>
          <w:tcPr>
            <w:tcW w:w="1600" w:type="dxa"/>
            <w:vAlign w:val="center"/>
          </w:tcPr>
          <w:p w:rsidR="00805646" w:rsidRPr="00E81D76" w:rsidRDefault="00805646" w:rsidP="00805646">
            <w:pPr>
              <w:rPr>
                <w:rFonts w:eastAsia="Times New Roman" w:cstheme="minorHAnsi"/>
                <w:sz w:val="20"/>
                <w:szCs w:val="20"/>
              </w:rPr>
            </w:pPr>
            <w:r>
              <w:rPr>
                <w:rFonts w:eastAsia="Times New Roman" w:cstheme="minorHAnsi"/>
                <w:sz w:val="20"/>
                <w:szCs w:val="20"/>
              </w:rPr>
              <w:t>CEMT 27500</w:t>
            </w:r>
          </w:p>
        </w:tc>
        <w:tc>
          <w:tcPr>
            <w:tcW w:w="4163" w:type="dxa"/>
            <w:vAlign w:val="center"/>
          </w:tcPr>
          <w:p w:rsidR="00805646" w:rsidRPr="00E81D76" w:rsidRDefault="00805646" w:rsidP="00805646">
            <w:pPr>
              <w:rPr>
                <w:rFonts w:cstheme="minorHAnsi"/>
                <w:sz w:val="20"/>
                <w:szCs w:val="20"/>
              </w:rPr>
            </w:pPr>
            <w:r>
              <w:rPr>
                <w:rFonts w:cstheme="minorHAnsi"/>
                <w:sz w:val="20"/>
                <w:szCs w:val="20"/>
              </w:rPr>
              <w:t>Applied Civil Engineering Drafting</w:t>
            </w:r>
          </w:p>
        </w:tc>
      </w:tr>
      <w:tr w:rsidR="00805646" w:rsidRPr="00F75DDD" w:rsidTr="00727E1B">
        <w:trPr>
          <w:trHeight w:val="189"/>
        </w:trPr>
        <w:tc>
          <w:tcPr>
            <w:tcW w:w="1525" w:type="dxa"/>
            <w:vAlign w:val="bottom"/>
          </w:tcPr>
          <w:p w:rsidR="00805646" w:rsidRPr="00E81D76" w:rsidRDefault="00805646" w:rsidP="00805646">
            <w:pPr>
              <w:rPr>
                <w:rFonts w:eastAsia="Times New Roman" w:cstheme="minorHAnsi"/>
                <w:sz w:val="20"/>
                <w:szCs w:val="20"/>
              </w:rPr>
            </w:pPr>
            <w:r w:rsidRPr="00E81D76">
              <w:rPr>
                <w:rFonts w:eastAsia="Times New Roman" w:cstheme="minorHAnsi"/>
                <w:sz w:val="20"/>
                <w:szCs w:val="20"/>
              </w:rPr>
              <w:t>CEMT 26700</w:t>
            </w:r>
          </w:p>
        </w:tc>
        <w:tc>
          <w:tcPr>
            <w:tcW w:w="4135" w:type="dxa"/>
            <w:vAlign w:val="center"/>
          </w:tcPr>
          <w:p w:rsidR="00805646" w:rsidRPr="00E81D76" w:rsidRDefault="00805646" w:rsidP="00805646">
            <w:pPr>
              <w:rPr>
                <w:rFonts w:cstheme="minorHAnsi"/>
                <w:sz w:val="20"/>
                <w:szCs w:val="20"/>
              </w:rPr>
            </w:pPr>
            <w:r w:rsidRPr="00E81D76">
              <w:rPr>
                <w:rFonts w:cstheme="minorHAnsi"/>
                <w:sz w:val="20"/>
                <w:szCs w:val="20"/>
              </w:rPr>
              <w:t>Materials Testing (2 cr.)</w:t>
            </w:r>
          </w:p>
        </w:tc>
        <w:tc>
          <w:tcPr>
            <w:tcW w:w="1600" w:type="dxa"/>
            <w:vAlign w:val="center"/>
          </w:tcPr>
          <w:p w:rsidR="00805646" w:rsidRPr="00E81D76" w:rsidRDefault="00805646" w:rsidP="00805646">
            <w:pPr>
              <w:rPr>
                <w:rFonts w:eastAsia="Times New Roman" w:cstheme="minorHAnsi"/>
                <w:sz w:val="20"/>
                <w:szCs w:val="20"/>
              </w:rPr>
            </w:pPr>
            <w:r w:rsidRPr="00E81D76">
              <w:rPr>
                <w:rFonts w:eastAsia="Times New Roman" w:cstheme="minorHAnsi"/>
                <w:sz w:val="20"/>
                <w:szCs w:val="20"/>
              </w:rPr>
              <w:t>CEMT 33000</w:t>
            </w:r>
          </w:p>
        </w:tc>
        <w:tc>
          <w:tcPr>
            <w:tcW w:w="4163" w:type="dxa"/>
            <w:vAlign w:val="center"/>
          </w:tcPr>
          <w:p w:rsidR="00805646" w:rsidRPr="00E81D76" w:rsidRDefault="00805646" w:rsidP="00805646">
            <w:pPr>
              <w:rPr>
                <w:rFonts w:cstheme="minorHAnsi"/>
                <w:sz w:val="20"/>
                <w:szCs w:val="20"/>
              </w:rPr>
            </w:pPr>
            <w:r w:rsidRPr="00E81D76">
              <w:rPr>
                <w:rFonts w:cstheme="minorHAnsi"/>
                <w:sz w:val="20"/>
                <w:szCs w:val="20"/>
              </w:rPr>
              <w:t>Construction Field Operations</w:t>
            </w:r>
          </w:p>
        </w:tc>
      </w:tr>
      <w:tr w:rsidR="00805646" w:rsidRPr="00F75DDD" w:rsidTr="00727E1B">
        <w:trPr>
          <w:trHeight w:val="201"/>
        </w:trPr>
        <w:tc>
          <w:tcPr>
            <w:tcW w:w="1525" w:type="dxa"/>
            <w:vAlign w:val="bottom"/>
          </w:tcPr>
          <w:p w:rsidR="00805646" w:rsidRPr="00E81D76" w:rsidRDefault="00805646" w:rsidP="00805646">
            <w:pPr>
              <w:rPr>
                <w:rFonts w:cstheme="minorHAnsi"/>
                <w:sz w:val="20"/>
                <w:szCs w:val="20"/>
              </w:rPr>
            </w:pPr>
            <w:r w:rsidRPr="00E81D76">
              <w:rPr>
                <w:rFonts w:eastAsia="Times New Roman" w:cstheme="minorHAnsi"/>
                <w:sz w:val="20"/>
                <w:szCs w:val="20"/>
              </w:rPr>
              <w:t>CEMT 34200</w:t>
            </w:r>
          </w:p>
        </w:tc>
        <w:tc>
          <w:tcPr>
            <w:tcW w:w="4135" w:type="dxa"/>
            <w:vAlign w:val="bottom"/>
          </w:tcPr>
          <w:p w:rsidR="00805646" w:rsidRPr="00E81D76" w:rsidRDefault="00805646" w:rsidP="00805646">
            <w:pPr>
              <w:rPr>
                <w:rFonts w:cstheme="minorHAnsi"/>
                <w:sz w:val="20"/>
                <w:szCs w:val="20"/>
              </w:rPr>
            </w:pPr>
            <w:r w:rsidRPr="00E81D76">
              <w:rPr>
                <w:rFonts w:cstheme="minorHAnsi"/>
                <w:sz w:val="20"/>
                <w:szCs w:val="20"/>
              </w:rPr>
              <w:t>Construction Cost &amp; Bidding</w:t>
            </w:r>
          </w:p>
        </w:tc>
        <w:tc>
          <w:tcPr>
            <w:tcW w:w="1600" w:type="dxa"/>
            <w:vAlign w:val="center"/>
          </w:tcPr>
          <w:p w:rsidR="00805646" w:rsidRPr="00E81D76" w:rsidRDefault="00805646" w:rsidP="00805646">
            <w:pPr>
              <w:rPr>
                <w:rFonts w:eastAsia="Times New Roman" w:cstheme="minorHAnsi"/>
                <w:sz w:val="20"/>
                <w:szCs w:val="20"/>
              </w:rPr>
            </w:pPr>
            <w:r w:rsidRPr="00E81D76">
              <w:rPr>
                <w:rFonts w:eastAsia="Times New Roman" w:cstheme="minorHAnsi"/>
                <w:sz w:val="20"/>
                <w:szCs w:val="20"/>
              </w:rPr>
              <w:t>CEMT 34100</w:t>
            </w:r>
          </w:p>
        </w:tc>
        <w:tc>
          <w:tcPr>
            <w:tcW w:w="4163" w:type="dxa"/>
            <w:vAlign w:val="center"/>
          </w:tcPr>
          <w:p w:rsidR="00805646" w:rsidRPr="00E81D76" w:rsidRDefault="00805646" w:rsidP="00805646">
            <w:pPr>
              <w:rPr>
                <w:rFonts w:cstheme="minorHAnsi"/>
                <w:sz w:val="20"/>
                <w:szCs w:val="20"/>
              </w:rPr>
            </w:pPr>
            <w:r w:rsidRPr="00E81D76">
              <w:rPr>
                <w:rFonts w:cstheme="minorHAnsi"/>
                <w:sz w:val="20"/>
                <w:szCs w:val="20"/>
              </w:rPr>
              <w:t>Construction Scheduling &amp; Project Control</w:t>
            </w:r>
          </w:p>
        </w:tc>
      </w:tr>
      <w:tr w:rsidR="00805646" w:rsidRPr="00F75DDD" w:rsidTr="00727E1B">
        <w:trPr>
          <w:trHeight w:val="201"/>
        </w:trPr>
        <w:tc>
          <w:tcPr>
            <w:tcW w:w="1525" w:type="dxa"/>
            <w:vAlign w:val="center"/>
          </w:tcPr>
          <w:p w:rsidR="00805646" w:rsidRPr="00E81D76" w:rsidRDefault="00805646" w:rsidP="00805646">
            <w:pPr>
              <w:rPr>
                <w:rFonts w:eastAsia="Times New Roman" w:cstheme="minorHAnsi"/>
                <w:sz w:val="20"/>
                <w:szCs w:val="20"/>
              </w:rPr>
            </w:pPr>
            <w:r w:rsidRPr="00E81D76">
              <w:rPr>
                <w:rFonts w:eastAsia="Times New Roman" w:cstheme="minorHAnsi"/>
                <w:sz w:val="20"/>
                <w:szCs w:val="20"/>
              </w:rPr>
              <w:t>PHYS 21800</w:t>
            </w:r>
          </w:p>
        </w:tc>
        <w:tc>
          <w:tcPr>
            <w:tcW w:w="4135" w:type="dxa"/>
            <w:vAlign w:val="center"/>
          </w:tcPr>
          <w:p w:rsidR="00805646" w:rsidRPr="00E81D76" w:rsidRDefault="00805646" w:rsidP="00805646">
            <w:pPr>
              <w:rPr>
                <w:rFonts w:eastAsia="Times New Roman" w:cstheme="minorHAnsi"/>
                <w:sz w:val="20"/>
                <w:szCs w:val="20"/>
              </w:rPr>
            </w:pPr>
            <w:r w:rsidRPr="00E81D76">
              <w:rPr>
                <w:rFonts w:eastAsia="Times New Roman" w:cstheme="minorHAnsi"/>
                <w:sz w:val="20"/>
                <w:szCs w:val="20"/>
              </w:rPr>
              <w:t>General Physics (4 cr.)</w:t>
            </w:r>
          </w:p>
        </w:tc>
        <w:tc>
          <w:tcPr>
            <w:tcW w:w="1600" w:type="dxa"/>
            <w:vAlign w:val="center"/>
          </w:tcPr>
          <w:p w:rsidR="00805646" w:rsidRPr="00E81D76" w:rsidRDefault="00805646" w:rsidP="00805646">
            <w:pPr>
              <w:rPr>
                <w:rFonts w:eastAsia="Times New Roman" w:cstheme="minorHAnsi"/>
                <w:sz w:val="20"/>
                <w:szCs w:val="20"/>
              </w:rPr>
            </w:pPr>
            <w:r w:rsidRPr="00E81D76">
              <w:rPr>
                <w:rFonts w:eastAsia="Times New Roman" w:cstheme="minorHAnsi"/>
                <w:sz w:val="20"/>
                <w:szCs w:val="20"/>
              </w:rPr>
              <w:t>CEMT 34700</w:t>
            </w:r>
          </w:p>
        </w:tc>
        <w:tc>
          <w:tcPr>
            <w:tcW w:w="4163" w:type="dxa"/>
            <w:vAlign w:val="center"/>
          </w:tcPr>
          <w:p w:rsidR="00805646" w:rsidRPr="00E81D76" w:rsidRDefault="00805646" w:rsidP="00805646">
            <w:pPr>
              <w:rPr>
                <w:rFonts w:cstheme="minorHAnsi"/>
                <w:sz w:val="20"/>
                <w:szCs w:val="20"/>
              </w:rPr>
            </w:pPr>
            <w:r w:rsidRPr="00E81D76">
              <w:rPr>
                <w:rFonts w:cstheme="minorHAnsi"/>
                <w:sz w:val="20"/>
                <w:szCs w:val="20"/>
              </w:rPr>
              <w:t>Construction Contract Administration &amp; Specifications</w:t>
            </w:r>
          </w:p>
        </w:tc>
      </w:tr>
      <w:tr w:rsidR="000E5317" w:rsidRPr="00F75DDD" w:rsidTr="00727E1B">
        <w:trPr>
          <w:trHeight w:val="201"/>
        </w:trPr>
        <w:tc>
          <w:tcPr>
            <w:tcW w:w="1525" w:type="dxa"/>
            <w:vAlign w:val="center"/>
          </w:tcPr>
          <w:p w:rsidR="000E5317" w:rsidRPr="00E81D76" w:rsidRDefault="000E5317" w:rsidP="000E5317">
            <w:pPr>
              <w:rPr>
                <w:rFonts w:eastAsia="Times New Roman" w:cstheme="minorHAnsi"/>
                <w:sz w:val="20"/>
                <w:szCs w:val="20"/>
              </w:rPr>
            </w:pPr>
            <w:r w:rsidRPr="00E81D76">
              <w:rPr>
                <w:rFonts w:eastAsia="Times New Roman" w:cstheme="minorHAnsi"/>
                <w:sz w:val="20"/>
                <w:szCs w:val="20"/>
              </w:rPr>
              <w:t>Stat Elective</w:t>
            </w:r>
          </w:p>
        </w:tc>
        <w:tc>
          <w:tcPr>
            <w:tcW w:w="4135" w:type="dxa"/>
            <w:vAlign w:val="center"/>
          </w:tcPr>
          <w:p w:rsidR="000E5317" w:rsidRPr="00E81D76" w:rsidRDefault="000E5317" w:rsidP="000E5317">
            <w:pPr>
              <w:rPr>
                <w:rFonts w:cstheme="minorHAnsi"/>
                <w:sz w:val="20"/>
                <w:szCs w:val="20"/>
              </w:rPr>
            </w:pPr>
            <w:r w:rsidRPr="00E81D76">
              <w:rPr>
                <w:rFonts w:cstheme="minorHAnsi"/>
                <w:sz w:val="20"/>
                <w:szCs w:val="20"/>
              </w:rPr>
              <w:t>STAT 30100</w:t>
            </w:r>
            <w:r>
              <w:rPr>
                <w:rFonts w:cstheme="minorHAnsi"/>
                <w:sz w:val="20"/>
                <w:szCs w:val="20"/>
              </w:rPr>
              <w:t xml:space="preserve"> </w:t>
            </w:r>
            <w:r w:rsidRPr="00E81D76">
              <w:rPr>
                <w:rFonts w:cstheme="minorHAnsi"/>
                <w:sz w:val="20"/>
                <w:szCs w:val="20"/>
              </w:rPr>
              <w:t>or PSYB 305</w:t>
            </w:r>
          </w:p>
        </w:tc>
        <w:tc>
          <w:tcPr>
            <w:tcW w:w="1600" w:type="dxa"/>
            <w:vAlign w:val="center"/>
          </w:tcPr>
          <w:p w:rsidR="000E5317" w:rsidRPr="00E81D76" w:rsidRDefault="000E5317" w:rsidP="000E5317">
            <w:pPr>
              <w:rPr>
                <w:rFonts w:eastAsia="Times New Roman" w:cstheme="minorHAnsi"/>
                <w:sz w:val="20"/>
                <w:szCs w:val="20"/>
              </w:rPr>
            </w:pPr>
            <w:r w:rsidRPr="000E5317">
              <w:rPr>
                <w:rFonts w:eastAsia="Times New Roman" w:cstheme="minorHAnsi"/>
                <w:sz w:val="20"/>
                <w:szCs w:val="20"/>
              </w:rPr>
              <w:t>CEMT 45200</w:t>
            </w:r>
          </w:p>
        </w:tc>
        <w:tc>
          <w:tcPr>
            <w:tcW w:w="4163" w:type="dxa"/>
            <w:vAlign w:val="center"/>
          </w:tcPr>
          <w:p w:rsidR="000E5317" w:rsidRPr="00E81D76" w:rsidRDefault="000E5317" w:rsidP="000E5317">
            <w:pPr>
              <w:rPr>
                <w:rFonts w:cstheme="minorHAnsi"/>
                <w:sz w:val="20"/>
                <w:szCs w:val="20"/>
              </w:rPr>
            </w:pPr>
            <w:r w:rsidRPr="000E5317">
              <w:rPr>
                <w:rFonts w:eastAsia="Times New Roman" w:cstheme="minorHAnsi"/>
                <w:sz w:val="20"/>
                <w:szCs w:val="20"/>
              </w:rPr>
              <w:t>Hydraulics &amp; Drainage</w:t>
            </w:r>
          </w:p>
        </w:tc>
      </w:tr>
      <w:tr w:rsidR="000E5317" w:rsidRPr="00F75DDD" w:rsidTr="00727E1B">
        <w:trPr>
          <w:trHeight w:val="189"/>
        </w:trPr>
        <w:tc>
          <w:tcPr>
            <w:tcW w:w="1525" w:type="dxa"/>
            <w:vAlign w:val="center"/>
          </w:tcPr>
          <w:p w:rsidR="000E5317" w:rsidRPr="00E81D76" w:rsidRDefault="000E5317" w:rsidP="000E5317">
            <w:pPr>
              <w:rPr>
                <w:rFonts w:eastAsia="Times New Roman" w:cstheme="minorHAnsi"/>
                <w:sz w:val="20"/>
                <w:szCs w:val="20"/>
              </w:rPr>
            </w:pPr>
          </w:p>
        </w:tc>
        <w:tc>
          <w:tcPr>
            <w:tcW w:w="4135" w:type="dxa"/>
            <w:vAlign w:val="center"/>
          </w:tcPr>
          <w:p w:rsidR="000E5317" w:rsidRPr="00E81D76" w:rsidRDefault="000E5317" w:rsidP="000E5317">
            <w:pPr>
              <w:rPr>
                <w:rFonts w:cstheme="minorHAnsi"/>
                <w:sz w:val="20"/>
                <w:szCs w:val="20"/>
              </w:rPr>
            </w:pPr>
          </w:p>
        </w:tc>
        <w:tc>
          <w:tcPr>
            <w:tcW w:w="1600" w:type="dxa"/>
            <w:vAlign w:val="center"/>
          </w:tcPr>
          <w:p w:rsidR="000E5317" w:rsidRPr="00E81D76" w:rsidRDefault="000E5317" w:rsidP="000E5317">
            <w:pPr>
              <w:rPr>
                <w:rFonts w:eastAsia="Times New Roman" w:cstheme="minorHAnsi"/>
                <w:sz w:val="20"/>
                <w:szCs w:val="20"/>
              </w:rPr>
            </w:pPr>
            <w:r w:rsidRPr="00E81D76">
              <w:rPr>
                <w:rFonts w:eastAsia="Times New Roman" w:cstheme="minorHAnsi"/>
                <w:sz w:val="20"/>
                <w:szCs w:val="20"/>
              </w:rPr>
              <w:t>CEMT 39000</w:t>
            </w:r>
          </w:p>
        </w:tc>
        <w:tc>
          <w:tcPr>
            <w:tcW w:w="4163" w:type="dxa"/>
            <w:vAlign w:val="center"/>
          </w:tcPr>
          <w:p w:rsidR="000E5317" w:rsidRPr="00E81D76" w:rsidRDefault="000E5317" w:rsidP="000E5317">
            <w:pPr>
              <w:rPr>
                <w:rFonts w:cstheme="minorHAnsi"/>
                <w:sz w:val="20"/>
                <w:szCs w:val="20"/>
              </w:rPr>
            </w:pPr>
            <w:r w:rsidRPr="00E81D76">
              <w:rPr>
                <w:rFonts w:cstheme="minorHAnsi"/>
                <w:sz w:val="20"/>
                <w:szCs w:val="20"/>
              </w:rPr>
              <w:t>Construction Experience III (1 cr.)</w:t>
            </w:r>
          </w:p>
        </w:tc>
      </w:tr>
      <w:tr w:rsidR="000E5317" w:rsidRPr="00F75DDD" w:rsidTr="00E81D76">
        <w:trPr>
          <w:trHeight w:val="201"/>
        </w:trPr>
        <w:tc>
          <w:tcPr>
            <w:tcW w:w="5660" w:type="dxa"/>
            <w:gridSpan w:val="2"/>
            <w:shd w:val="clear" w:color="auto" w:fill="FFFF99"/>
          </w:tcPr>
          <w:p w:rsidR="000E5317" w:rsidRPr="00E81D76" w:rsidRDefault="000E5317" w:rsidP="000E5317">
            <w:pPr>
              <w:jc w:val="center"/>
              <w:rPr>
                <w:rFonts w:cstheme="minorHAnsi"/>
                <w:b/>
                <w:sz w:val="20"/>
                <w:szCs w:val="20"/>
              </w:rPr>
            </w:pPr>
            <w:r w:rsidRPr="00E81D76">
              <w:rPr>
                <w:rFonts w:cstheme="minorHAnsi"/>
                <w:b/>
                <w:sz w:val="20"/>
                <w:szCs w:val="20"/>
              </w:rPr>
              <w:t>Semester 7 (15 cr.)</w:t>
            </w:r>
          </w:p>
        </w:tc>
        <w:tc>
          <w:tcPr>
            <w:tcW w:w="5763" w:type="dxa"/>
            <w:gridSpan w:val="2"/>
            <w:shd w:val="clear" w:color="auto" w:fill="FFFF99"/>
            <w:vAlign w:val="center"/>
          </w:tcPr>
          <w:p w:rsidR="000E5317" w:rsidRPr="00E81D76" w:rsidRDefault="000E5317" w:rsidP="000E5317">
            <w:pPr>
              <w:jc w:val="center"/>
              <w:rPr>
                <w:rFonts w:cstheme="minorHAnsi"/>
                <w:b/>
                <w:sz w:val="20"/>
                <w:szCs w:val="20"/>
              </w:rPr>
            </w:pPr>
            <w:r w:rsidRPr="00E81D76">
              <w:rPr>
                <w:rFonts w:cstheme="minorHAnsi"/>
                <w:b/>
                <w:sz w:val="20"/>
                <w:szCs w:val="20"/>
              </w:rPr>
              <w:t>Semester 8 (1</w:t>
            </w:r>
            <w:r>
              <w:rPr>
                <w:rFonts w:cstheme="minorHAnsi"/>
                <w:b/>
                <w:sz w:val="20"/>
                <w:szCs w:val="20"/>
              </w:rPr>
              <w:t>2</w:t>
            </w:r>
            <w:r w:rsidRPr="00E81D76">
              <w:rPr>
                <w:rFonts w:cstheme="minorHAnsi"/>
                <w:b/>
                <w:sz w:val="20"/>
                <w:szCs w:val="20"/>
              </w:rPr>
              <w:t xml:space="preserve"> cr.)</w:t>
            </w:r>
          </w:p>
        </w:tc>
      </w:tr>
      <w:tr w:rsidR="000E5317" w:rsidRPr="00F75DDD" w:rsidTr="00727E1B">
        <w:trPr>
          <w:trHeight w:val="189"/>
        </w:trPr>
        <w:tc>
          <w:tcPr>
            <w:tcW w:w="1525" w:type="dxa"/>
            <w:vAlign w:val="center"/>
          </w:tcPr>
          <w:p w:rsidR="000E5317" w:rsidRPr="00E81D76" w:rsidRDefault="000E5317" w:rsidP="000E5317">
            <w:pPr>
              <w:rPr>
                <w:rFonts w:eastAsia="Times New Roman" w:cstheme="minorHAnsi"/>
                <w:sz w:val="20"/>
                <w:szCs w:val="20"/>
              </w:rPr>
            </w:pPr>
            <w:r w:rsidRPr="00E81D76">
              <w:rPr>
                <w:rFonts w:eastAsia="Times New Roman" w:cstheme="minorHAnsi"/>
                <w:sz w:val="20"/>
                <w:szCs w:val="20"/>
              </w:rPr>
              <w:t>CEMT 43000</w:t>
            </w:r>
          </w:p>
        </w:tc>
        <w:tc>
          <w:tcPr>
            <w:tcW w:w="4135" w:type="dxa"/>
            <w:vAlign w:val="center"/>
          </w:tcPr>
          <w:p w:rsidR="000E5317" w:rsidRPr="00E81D76" w:rsidRDefault="000E5317" w:rsidP="000E5317">
            <w:pPr>
              <w:rPr>
                <w:rFonts w:cstheme="minorHAnsi"/>
                <w:sz w:val="20"/>
                <w:szCs w:val="20"/>
              </w:rPr>
            </w:pPr>
            <w:r w:rsidRPr="00E81D76">
              <w:rPr>
                <w:rFonts w:cstheme="minorHAnsi"/>
                <w:sz w:val="20"/>
                <w:szCs w:val="20"/>
              </w:rPr>
              <w:t>Soils and Foundations</w:t>
            </w:r>
          </w:p>
        </w:tc>
        <w:tc>
          <w:tcPr>
            <w:tcW w:w="1600" w:type="dxa"/>
            <w:vAlign w:val="center"/>
          </w:tcPr>
          <w:p w:rsidR="000E5317" w:rsidRPr="00E81D76" w:rsidRDefault="000E5317" w:rsidP="000E5317">
            <w:pPr>
              <w:rPr>
                <w:rFonts w:eastAsia="Times New Roman" w:cstheme="minorHAnsi"/>
                <w:sz w:val="20"/>
                <w:szCs w:val="20"/>
              </w:rPr>
            </w:pPr>
            <w:r w:rsidRPr="00E81D76">
              <w:rPr>
                <w:rFonts w:eastAsia="Times New Roman" w:cstheme="minorHAnsi"/>
                <w:sz w:val="20"/>
                <w:szCs w:val="20"/>
              </w:rPr>
              <w:t>CEMT 35000</w:t>
            </w:r>
          </w:p>
        </w:tc>
        <w:tc>
          <w:tcPr>
            <w:tcW w:w="4163" w:type="dxa"/>
            <w:vAlign w:val="center"/>
          </w:tcPr>
          <w:p w:rsidR="000E5317" w:rsidRPr="00E81D76" w:rsidRDefault="000E5317" w:rsidP="000E5317">
            <w:pPr>
              <w:rPr>
                <w:rFonts w:cstheme="minorHAnsi"/>
                <w:sz w:val="20"/>
                <w:szCs w:val="20"/>
              </w:rPr>
            </w:pPr>
            <w:r w:rsidRPr="00E81D76">
              <w:rPr>
                <w:rFonts w:cstheme="minorHAnsi"/>
                <w:sz w:val="20"/>
                <w:szCs w:val="20"/>
              </w:rPr>
              <w:t>Construction Project Cost &amp; Production Control</w:t>
            </w:r>
          </w:p>
        </w:tc>
      </w:tr>
      <w:tr w:rsidR="000E5317" w:rsidRPr="008F68FE" w:rsidTr="00727E1B">
        <w:trPr>
          <w:trHeight w:val="201"/>
        </w:trPr>
        <w:tc>
          <w:tcPr>
            <w:tcW w:w="1525" w:type="dxa"/>
            <w:vAlign w:val="center"/>
          </w:tcPr>
          <w:p w:rsidR="000E5317" w:rsidRPr="00E81D76" w:rsidRDefault="000E5317" w:rsidP="000E5317">
            <w:pPr>
              <w:rPr>
                <w:rFonts w:eastAsia="Times New Roman" w:cstheme="minorHAnsi"/>
                <w:sz w:val="20"/>
                <w:szCs w:val="20"/>
              </w:rPr>
            </w:pPr>
            <w:r w:rsidRPr="00E81D76">
              <w:rPr>
                <w:rFonts w:eastAsia="Times New Roman" w:cstheme="minorHAnsi"/>
                <w:sz w:val="20"/>
                <w:szCs w:val="20"/>
              </w:rPr>
              <w:t>CEMT 45500</w:t>
            </w:r>
          </w:p>
        </w:tc>
        <w:tc>
          <w:tcPr>
            <w:tcW w:w="4135" w:type="dxa"/>
            <w:vAlign w:val="center"/>
          </w:tcPr>
          <w:p w:rsidR="000E5317" w:rsidRPr="00E81D76" w:rsidRDefault="000E5317" w:rsidP="000E5317">
            <w:pPr>
              <w:rPr>
                <w:rFonts w:cstheme="minorHAnsi"/>
                <w:sz w:val="20"/>
                <w:szCs w:val="20"/>
              </w:rPr>
            </w:pPr>
            <w:r w:rsidRPr="00E81D76">
              <w:rPr>
                <w:rFonts w:cstheme="minorHAnsi"/>
                <w:sz w:val="20"/>
                <w:szCs w:val="20"/>
              </w:rPr>
              <w:t>Construction Safety &amp; Inspection</w:t>
            </w:r>
          </w:p>
        </w:tc>
        <w:tc>
          <w:tcPr>
            <w:tcW w:w="1600" w:type="dxa"/>
            <w:vAlign w:val="center"/>
          </w:tcPr>
          <w:p w:rsidR="000E5317" w:rsidRPr="00E81D76" w:rsidRDefault="000E5317" w:rsidP="000E5317">
            <w:pPr>
              <w:rPr>
                <w:rFonts w:eastAsia="Times New Roman" w:cstheme="minorHAnsi"/>
                <w:sz w:val="20"/>
                <w:szCs w:val="20"/>
              </w:rPr>
            </w:pPr>
            <w:r w:rsidRPr="00E81D76">
              <w:rPr>
                <w:rFonts w:eastAsia="Times New Roman" w:cstheme="minorHAnsi"/>
                <w:sz w:val="20"/>
                <w:szCs w:val="20"/>
              </w:rPr>
              <w:t>CEMT 44700</w:t>
            </w:r>
          </w:p>
        </w:tc>
        <w:tc>
          <w:tcPr>
            <w:tcW w:w="4163" w:type="dxa"/>
            <w:vAlign w:val="center"/>
          </w:tcPr>
          <w:p w:rsidR="000E5317" w:rsidRPr="00E81D76" w:rsidRDefault="000E5317" w:rsidP="000E5317">
            <w:pPr>
              <w:rPr>
                <w:rFonts w:cstheme="minorHAnsi"/>
                <w:sz w:val="20"/>
                <w:szCs w:val="20"/>
              </w:rPr>
            </w:pPr>
            <w:r w:rsidRPr="00E81D76">
              <w:rPr>
                <w:rFonts w:cstheme="minorHAnsi"/>
                <w:sz w:val="20"/>
                <w:szCs w:val="20"/>
              </w:rPr>
              <w:t>Construction Project Management</w:t>
            </w:r>
          </w:p>
        </w:tc>
      </w:tr>
      <w:tr w:rsidR="000E5317" w:rsidRPr="008F68FE" w:rsidTr="00727E1B">
        <w:trPr>
          <w:trHeight w:val="189"/>
        </w:trPr>
        <w:tc>
          <w:tcPr>
            <w:tcW w:w="1525" w:type="dxa"/>
            <w:vAlign w:val="center"/>
          </w:tcPr>
          <w:p w:rsidR="000E5317" w:rsidRPr="00E81D76" w:rsidRDefault="000E5317" w:rsidP="000E5317">
            <w:pPr>
              <w:rPr>
                <w:rFonts w:eastAsia="Times New Roman" w:cstheme="minorHAnsi"/>
                <w:sz w:val="20"/>
                <w:szCs w:val="20"/>
              </w:rPr>
            </w:pPr>
            <w:r w:rsidRPr="00E81D76">
              <w:rPr>
                <w:rFonts w:eastAsia="Times New Roman" w:cstheme="minorHAnsi"/>
                <w:sz w:val="20"/>
                <w:szCs w:val="20"/>
              </w:rPr>
              <w:t>CEMT 48600</w:t>
            </w:r>
          </w:p>
        </w:tc>
        <w:tc>
          <w:tcPr>
            <w:tcW w:w="4135" w:type="dxa"/>
            <w:vAlign w:val="center"/>
          </w:tcPr>
          <w:p w:rsidR="000E5317" w:rsidRPr="00E81D76" w:rsidRDefault="000E5317" w:rsidP="000E5317">
            <w:pPr>
              <w:rPr>
                <w:rFonts w:cstheme="minorHAnsi"/>
                <w:sz w:val="20"/>
                <w:szCs w:val="20"/>
              </w:rPr>
            </w:pPr>
            <w:r w:rsidRPr="00E81D76">
              <w:rPr>
                <w:rFonts w:cstheme="minorHAnsi"/>
                <w:sz w:val="20"/>
                <w:szCs w:val="20"/>
              </w:rPr>
              <w:t>Reinforced Concrete Design &amp; Construction</w:t>
            </w:r>
          </w:p>
        </w:tc>
        <w:tc>
          <w:tcPr>
            <w:tcW w:w="1600" w:type="dxa"/>
            <w:vAlign w:val="center"/>
          </w:tcPr>
          <w:p w:rsidR="000E5317" w:rsidRPr="00E81D76" w:rsidRDefault="000E5317" w:rsidP="000E5317">
            <w:pPr>
              <w:rPr>
                <w:rFonts w:eastAsia="Times New Roman" w:cstheme="minorHAnsi"/>
                <w:sz w:val="20"/>
                <w:szCs w:val="20"/>
                <w:highlight w:val="yellow"/>
              </w:rPr>
            </w:pPr>
            <w:r w:rsidRPr="00E81D76">
              <w:rPr>
                <w:sz w:val="20"/>
                <w:szCs w:val="20"/>
                <w:highlight w:val="yellow"/>
              </w:rPr>
              <w:t>REDC 503</w:t>
            </w:r>
          </w:p>
        </w:tc>
        <w:tc>
          <w:tcPr>
            <w:tcW w:w="4163" w:type="dxa"/>
            <w:vAlign w:val="center"/>
          </w:tcPr>
          <w:p w:rsidR="000E5317" w:rsidRPr="00E81D76" w:rsidRDefault="000E5317" w:rsidP="000E5317">
            <w:pPr>
              <w:rPr>
                <w:sz w:val="20"/>
                <w:szCs w:val="20"/>
                <w:highlight w:val="yellow"/>
              </w:rPr>
            </w:pPr>
            <w:r w:rsidRPr="00E81D76">
              <w:rPr>
                <w:sz w:val="20"/>
                <w:szCs w:val="20"/>
                <w:highlight w:val="yellow"/>
              </w:rPr>
              <w:t>Real Estate Site Analysis</w:t>
            </w:r>
          </w:p>
        </w:tc>
      </w:tr>
      <w:tr w:rsidR="000E5317" w:rsidRPr="002A3B42" w:rsidTr="00727E1B">
        <w:trPr>
          <w:trHeight w:val="201"/>
        </w:trPr>
        <w:tc>
          <w:tcPr>
            <w:tcW w:w="1525" w:type="dxa"/>
            <w:vAlign w:val="center"/>
          </w:tcPr>
          <w:p w:rsidR="000E5317" w:rsidRPr="00E81D76" w:rsidRDefault="000E5317" w:rsidP="000E5317">
            <w:pPr>
              <w:rPr>
                <w:rFonts w:eastAsia="Times New Roman" w:cstheme="minorHAnsi"/>
                <w:sz w:val="20"/>
                <w:szCs w:val="20"/>
                <w:highlight w:val="yellow"/>
              </w:rPr>
            </w:pPr>
            <w:r w:rsidRPr="00E81D76">
              <w:rPr>
                <w:sz w:val="20"/>
                <w:szCs w:val="20"/>
                <w:highlight w:val="yellow"/>
              </w:rPr>
              <w:t>REDC 500</w:t>
            </w:r>
          </w:p>
        </w:tc>
        <w:tc>
          <w:tcPr>
            <w:tcW w:w="4135" w:type="dxa"/>
            <w:vAlign w:val="center"/>
          </w:tcPr>
          <w:p w:rsidR="000E5317" w:rsidRPr="00E81D76" w:rsidRDefault="000E5317" w:rsidP="000E5317">
            <w:pPr>
              <w:rPr>
                <w:rFonts w:cstheme="minorHAnsi"/>
                <w:sz w:val="20"/>
                <w:szCs w:val="20"/>
                <w:highlight w:val="yellow"/>
              </w:rPr>
            </w:pPr>
            <w:r w:rsidRPr="00E81D76">
              <w:rPr>
                <w:sz w:val="20"/>
                <w:szCs w:val="20"/>
                <w:highlight w:val="yellow"/>
              </w:rPr>
              <w:t>Foundational Ethics</w:t>
            </w:r>
          </w:p>
        </w:tc>
        <w:tc>
          <w:tcPr>
            <w:tcW w:w="1600" w:type="dxa"/>
            <w:vAlign w:val="center"/>
          </w:tcPr>
          <w:p w:rsidR="000E5317" w:rsidRPr="00E81D76" w:rsidRDefault="000E5317" w:rsidP="000E5317">
            <w:pPr>
              <w:rPr>
                <w:rFonts w:eastAsia="Times New Roman" w:cstheme="minorHAnsi"/>
                <w:sz w:val="20"/>
                <w:szCs w:val="20"/>
                <w:highlight w:val="yellow"/>
              </w:rPr>
            </w:pPr>
            <w:r w:rsidRPr="00E81D76">
              <w:rPr>
                <w:sz w:val="20"/>
                <w:szCs w:val="20"/>
                <w:highlight w:val="yellow"/>
              </w:rPr>
              <w:t>REDC 505</w:t>
            </w:r>
          </w:p>
        </w:tc>
        <w:tc>
          <w:tcPr>
            <w:tcW w:w="4163" w:type="dxa"/>
            <w:vAlign w:val="center"/>
          </w:tcPr>
          <w:p w:rsidR="000E5317" w:rsidRPr="00E81D76" w:rsidRDefault="000E5317" w:rsidP="000E5317">
            <w:pPr>
              <w:rPr>
                <w:rFonts w:cstheme="minorHAnsi"/>
                <w:sz w:val="20"/>
                <w:szCs w:val="20"/>
                <w:highlight w:val="yellow"/>
              </w:rPr>
            </w:pPr>
            <w:r w:rsidRPr="00E81D76">
              <w:rPr>
                <w:sz w:val="20"/>
                <w:szCs w:val="20"/>
                <w:highlight w:val="yellow"/>
              </w:rPr>
              <w:t>Real Estate Feasibility Analysis</w:t>
            </w:r>
          </w:p>
        </w:tc>
      </w:tr>
      <w:tr w:rsidR="000E5317" w:rsidRPr="002A3B42" w:rsidTr="00727E1B">
        <w:trPr>
          <w:trHeight w:val="201"/>
        </w:trPr>
        <w:tc>
          <w:tcPr>
            <w:tcW w:w="1525" w:type="dxa"/>
            <w:vAlign w:val="center"/>
          </w:tcPr>
          <w:p w:rsidR="000E5317" w:rsidRPr="00E81D76" w:rsidRDefault="000E5317" w:rsidP="000E5317">
            <w:pPr>
              <w:rPr>
                <w:rFonts w:eastAsia="Times New Roman" w:cstheme="minorHAnsi"/>
                <w:sz w:val="20"/>
                <w:szCs w:val="20"/>
                <w:highlight w:val="yellow"/>
              </w:rPr>
            </w:pPr>
            <w:r w:rsidRPr="00E81D76">
              <w:rPr>
                <w:sz w:val="20"/>
                <w:szCs w:val="20"/>
                <w:highlight w:val="yellow"/>
              </w:rPr>
              <w:t>REDC 502</w:t>
            </w:r>
          </w:p>
        </w:tc>
        <w:tc>
          <w:tcPr>
            <w:tcW w:w="4135" w:type="dxa"/>
            <w:vAlign w:val="center"/>
          </w:tcPr>
          <w:p w:rsidR="000E5317" w:rsidRPr="00E81D76" w:rsidRDefault="000E5317" w:rsidP="000E5317">
            <w:pPr>
              <w:rPr>
                <w:rFonts w:cstheme="minorHAnsi"/>
                <w:sz w:val="20"/>
                <w:szCs w:val="20"/>
                <w:highlight w:val="yellow"/>
              </w:rPr>
            </w:pPr>
            <w:r w:rsidRPr="00E81D76">
              <w:rPr>
                <w:sz w:val="20"/>
                <w:szCs w:val="20"/>
                <w:highlight w:val="yellow"/>
              </w:rPr>
              <w:t>Principles of Real Estate Development</w:t>
            </w:r>
          </w:p>
        </w:tc>
        <w:tc>
          <w:tcPr>
            <w:tcW w:w="1600" w:type="dxa"/>
            <w:vAlign w:val="center"/>
          </w:tcPr>
          <w:p w:rsidR="000E5317" w:rsidRPr="00E81D76" w:rsidRDefault="000E5317" w:rsidP="000E5317">
            <w:pPr>
              <w:rPr>
                <w:rFonts w:eastAsia="Times New Roman" w:cstheme="minorHAnsi"/>
                <w:sz w:val="20"/>
                <w:szCs w:val="20"/>
                <w:highlight w:val="yellow"/>
              </w:rPr>
            </w:pPr>
          </w:p>
        </w:tc>
        <w:tc>
          <w:tcPr>
            <w:tcW w:w="4163" w:type="dxa"/>
            <w:vAlign w:val="center"/>
          </w:tcPr>
          <w:p w:rsidR="000E5317" w:rsidRPr="00E81D76" w:rsidRDefault="000E5317" w:rsidP="000E5317">
            <w:pPr>
              <w:rPr>
                <w:rFonts w:cstheme="minorHAnsi"/>
                <w:sz w:val="20"/>
                <w:szCs w:val="20"/>
                <w:highlight w:val="yellow"/>
              </w:rPr>
            </w:pPr>
          </w:p>
        </w:tc>
      </w:tr>
      <w:tr w:rsidR="000E5317" w:rsidRPr="00F75DDD" w:rsidTr="00E81D76">
        <w:trPr>
          <w:trHeight w:val="62"/>
        </w:trPr>
        <w:tc>
          <w:tcPr>
            <w:tcW w:w="11423" w:type="dxa"/>
            <w:gridSpan w:val="4"/>
            <w:vAlign w:val="center"/>
          </w:tcPr>
          <w:p w:rsidR="000E5317" w:rsidRPr="00F75DDD" w:rsidRDefault="000E5317" w:rsidP="00B25198">
            <w:pPr>
              <w:jc w:val="right"/>
              <w:rPr>
                <w:rFonts w:asciiTheme="minorHAnsi" w:hAnsiTheme="minorHAnsi" w:cstheme="minorHAnsi"/>
                <w:b/>
              </w:rPr>
            </w:pPr>
            <w:r w:rsidRPr="00F75DDD">
              <w:rPr>
                <w:rFonts w:asciiTheme="minorHAnsi" w:hAnsiTheme="minorHAnsi" w:cstheme="minorHAnsi"/>
                <w:b/>
                <w:color w:val="FF0000"/>
              </w:rPr>
              <w:t>Fall 20</w:t>
            </w:r>
            <w:r w:rsidR="00B25198">
              <w:rPr>
                <w:rFonts w:asciiTheme="minorHAnsi" w:hAnsiTheme="minorHAnsi" w:cstheme="minorHAnsi"/>
                <w:b/>
                <w:color w:val="FF0000"/>
              </w:rPr>
              <w:t>20</w:t>
            </w:r>
          </w:p>
        </w:tc>
      </w:tr>
    </w:tbl>
    <w:p w:rsidR="0007383A" w:rsidRDefault="0007383A" w:rsidP="008D11FD">
      <w:pPr>
        <w:pStyle w:val="Heading2"/>
        <w:spacing w:before="151"/>
        <w:ind w:left="117"/>
        <w:rPr>
          <w:color w:val="231F20"/>
          <w:w w:val="95"/>
        </w:rPr>
      </w:pPr>
    </w:p>
    <w:p w:rsidR="009E09F5" w:rsidRDefault="009E09F5" w:rsidP="008D11FD">
      <w:pPr>
        <w:pStyle w:val="Heading2"/>
        <w:spacing w:before="151"/>
        <w:ind w:left="117"/>
        <w:rPr>
          <w:color w:val="231F20"/>
          <w:w w:val="95"/>
        </w:rPr>
      </w:pPr>
    </w:p>
    <w:p w:rsidR="003456E7" w:rsidRDefault="003456E7" w:rsidP="008D11FD">
      <w:pPr>
        <w:pStyle w:val="Heading2"/>
        <w:spacing w:before="151"/>
        <w:ind w:left="117"/>
        <w:rPr>
          <w:color w:val="231F20"/>
          <w:w w:val="95"/>
        </w:rPr>
      </w:pPr>
      <w:r>
        <w:rPr>
          <w:color w:val="231F20"/>
          <w:w w:val="95"/>
        </w:rPr>
        <w:t xml:space="preserve">Class Times and Location </w:t>
      </w:r>
    </w:p>
    <w:p w:rsidR="003456E7" w:rsidRPr="003456E7" w:rsidRDefault="003456E7" w:rsidP="003456E7">
      <w:pPr>
        <w:pStyle w:val="Heading2"/>
        <w:spacing w:before="151"/>
        <w:ind w:left="117"/>
        <w:rPr>
          <w:b w:val="0"/>
          <w:color w:val="231F20"/>
          <w:w w:val="95"/>
        </w:rPr>
      </w:pPr>
      <w:r w:rsidRPr="003456E7">
        <w:rPr>
          <w:b w:val="0"/>
          <w:color w:val="231F20"/>
          <w:w w:val="95"/>
        </w:rPr>
        <w:t xml:space="preserve">The MPS is 30 credit hours. Courses are accelerated and last 7.5 weeks, so you can take six credit hours per term while only taking one class at a time. Classes meet </w:t>
      </w:r>
      <w:r w:rsidR="0007383A">
        <w:rPr>
          <w:b w:val="0"/>
          <w:color w:val="231F20"/>
          <w:w w:val="95"/>
        </w:rPr>
        <w:t xml:space="preserve">on Tuesday evening from </w:t>
      </w:r>
      <w:r w:rsidRPr="003456E7">
        <w:rPr>
          <w:b w:val="0"/>
          <w:color w:val="231F20"/>
          <w:w w:val="95"/>
        </w:rPr>
        <w:t>6</w:t>
      </w:r>
      <w:r>
        <w:rPr>
          <w:b w:val="0"/>
          <w:color w:val="231F20"/>
          <w:w w:val="95"/>
        </w:rPr>
        <w:t>:00</w:t>
      </w:r>
      <w:r w:rsidRPr="003456E7">
        <w:rPr>
          <w:b w:val="0"/>
          <w:color w:val="231F20"/>
          <w:w w:val="95"/>
        </w:rPr>
        <w:t>-9:45 p.m. Classes are offered in sequence in an on-campus format.</w:t>
      </w:r>
    </w:p>
    <w:p w:rsidR="003456E7" w:rsidRPr="003456E7" w:rsidRDefault="003456E7" w:rsidP="003456E7">
      <w:pPr>
        <w:pStyle w:val="Heading2"/>
        <w:spacing w:before="151"/>
        <w:ind w:left="117"/>
        <w:rPr>
          <w:b w:val="0"/>
          <w:color w:val="231F20"/>
          <w:w w:val="95"/>
        </w:rPr>
      </w:pPr>
      <w:r w:rsidRPr="003456E7">
        <w:rPr>
          <w:b w:val="0"/>
          <w:color w:val="231F20"/>
          <w:w w:val="95"/>
        </w:rPr>
        <w:t>The MPS program is structured as a cohort, meaning students begin the program at the same time and take all classes together. This gives you the opportunity to network and develop relationships with classmates from diverse backgrounds.</w:t>
      </w:r>
      <w:r>
        <w:rPr>
          <w:b w:val="0"/>
          <w:color w:val="231F20"/>
          <w:w w:val="95"/>
        </w:rPr>
        <w:t xml:space="preserve">  Cohorts begin</w:t>
      </w:r>
      <w:r w:rsidR="0007383A">
        <w:rPr>
          <w:b w:val="0"/>
          <w:color w:val="231F20"/>
          <w:w w:val="95"/>
        </w:rPr>
        <w:t xml:space="preserve"> only</w:t>
      </w:r>
      <w:r>
        <w:rPr>
          <w:b w:val="0"/>
          <w:color w:val="231F20"/>
          <w:w w:val="95"/>
        </w:rPr>
        <w:t xml:space="preserve"> in the fall semester.</w:t>
      </w:r>
    </w:p>
    <w:p w:rsidR="003456E7" w:rsidRDefault="001A2FAC" w:rsidP="008D11FD">
      <w:pPr>
        <w:pStyle w:val="Heading2"/>
        <w:spacing w:before="151"/>
        <w:ind w:left="117"/>
        <w:rPr>
          <w:b w:val="0"/>
          <w:color w:val="231F20"/>
          <w:w w:val="95"/>
        </w:rPr>
      </w:pPr>
      <w:hyperlink r:id="rId9" w:history="1">
        <w:r w:rsidR="003456E7" w:rsidRPr="00981B9E">
          <w:rPr>
            <w:rStyle w:val="Hyperlink"/>
            <w:b w:val="0"/>
            <w:w w:val="95"/>
          </w:rPr>
          <w:t>http://uindy.edu/business/realestate/accelerated-real-estate-development</w:t>
        </w:r>
      </w:hyperlink>
    </w:p>
    <w:p w:rsidR="009E09F5" w:rsidRDefault="009E09F5" w:rsidP="008D11FD">
      <w:pPr>
        <w:pStyle w:val="Heading2"/>
        <w:spacing w:before="151"/>
        <w:ind w:left="117"/>
        <w:rPr>
          <w:color w:val="231F20"/>
          <w:w w:val="95"/>
        </w:rPr>
      </w:pPr>
    </w:p>
    <w:p w:rsidR="008D11FD" w:rsidRDefault="008D11FD" w:rsidP="008D11FD">
      <w:pPr>
        <w:pStyle w:val="Heading2"/>
        <w:spacing w:before="151"/>
        <w:ind w:left="117"/>
      </w:pPr>
      <w:r>
        <w:rPr>
          <w:color w:val="231F20"/>
          <w:w w:val="95"/>
        </w:rPr>
        <w:t>MPS Required Courses</w:t>
      </w:r>
    </w:p>
    <w:p w:rsidR="00E000EC" w:rsidRDefault="00E000EC">
      <w:pPr>
        <w:pStyle w:val="BodyText"/>
        <w:spacing w:before="7"/>
        <w:rPr>
          <w:sz w:val="18"/>
        </w:rPr>
      </w:pPr>
    </w:p>
    <w:p w:rsidR="00E000EC" w:rsidRDefault="000A44AF" w:rsidP="00626A0C">
      <w:pPr>
        <w:pStyle w:val="BodyText"/>
        <w:spacing w:line="276" w:lineRule="auto"/>
        <w:ind w:left="305"/>
        <w:rPr>
          <w:color w:val="FF0000"/>
        </w:rPr>
      </w:pPr>
      <w:r>
        <w:rPr>
          <w:color w:val="231F20"/>
        </w:rPr>
        <w:t>REDC 500 - Foundational Ethics</w:t>
      </w:r>
      <w:r w:rsidR="0007383A">
        <w:rPr>
          <w:color w:val="231F20"/>
        </w:rPr>
        <w:t xml:space="preserve"> </w:t>
      </w:r>
      <w:r w:rsidR="0007383A" w:rsidRPr="0007383A">
        <w:rPr>
          <w:color w:val="FF0000"/>
        </w:rPr>
        <w:t>(Fall IUPUI)</w:t>
      </w:r>
    </w:p>
    <w:p w:rsidR="0007383A" w:rsidRDefault="000A44AF" w:rsidP="00626A0C">
      <w:pPr>
        <w:pStyle w:val="BodyText"/>
        <w:spacing w:line="276" w:lineRule="auto"/>
        <w:ind w:left="305" w:right="4350"/>
        <w:rPr>
          <w:color w:val="FF0000"/>
        </w:rPr>
      </w:pPr>
      <w:r>
        <w:rPr>
          <w:color w:val="231F20"/>
        </w:rPr>
        <w:t>REDC 502 - Principles of Real Estate Development</w:t>
      </w:r>
      <w:r w:rsidR="0007383A">
        <w:rPr>
          <w:color w:val="231F20"/>
        </w:rPr>
        <w:t xml:space="preserve"> </w:t>
      </w:r>
      <w:r w:rsidR="0007383A" w:rsidRPr="0007383A">
        <w:rPr>
          <w:color w:val="FF0000"/>
        </w:rPr>
        <w:t>(Fall IUPUI)</w:t>
      </w:r>
    </w:p>
    <w:p w:rsidR="00E000EC" w:rsidRPr="00626A0C" w:rsidRDefault="000A44AF" w:rsidP="00626A0C">
      <w:pPr>
        <w:pStyle w:val="BodyText"/>
        <w:spacing w:line="276" w:lineRule="auto"/>
        <w:ind w:left="305" w:right="4350"/>
        <w:rPr>
          <w:color w:val="FF0000"/>
        </w:rPr>
      </w:pPr>
      <w:r>
        <w:rPr>
          <w:color w:val="231F20"/>
        </w:rPr>
        <w:t>REDC 503 - Real Estate Site Analysis</w:t>
      </w:r>
      <w:r w:rsidR="00626A0C">
        <w:rPr>
          <w:color w:val="231F20"/>
        </w:rPr>
        <w:t xml:space="preserve"> </w:t>
      </w:r>
      <w:r w:rsidR="00626A0C" w:rsidRPr="00626A0C">
        <w:rPr>
          <w:color w:val="FF0000"/>
        </w:rPr>
        <w:t>(Spring IUPUI)</w:t>
      </w:r>
    </w:p>
    <w:p w:rsidR="00E000EC" w:rsidRPr="00626A0C" w:rsidRDefault="000A44AF" w:rsidP="00626A0C">
      <w:pPr>
        <w:pStyle w:val="BodyText"/>
        <w:spacing w:line="276" w:lineRule="auto"/>
        <w:ind w:left="305"/>
        <w:rPr>
          <w:color w:val="FF0000"/>
        </w:rPr>
      </w:pPr>
      <w:r>
        <w:rPr>
          <w:color w:val="231F20"/>
        </w:rPr>
        <w:t>REDC 505 - Real Estate Feasibility Analysis</w:t>
      </w:r>
      <w:r w:rsidR="00626A0C">
        <w:rPr>
          <w:color w:val="231F20"/>
        </w:rPr>
        <w:t xml:space="preserve"> </w:t>
      </w:r>
      <w:r w:rsidR="00626A0C" w:rsidRPr="00626A0C">
        <w:rPr>
          <w:color w:val="FF0000"/>
        </w:rPr>
        <w:t>(Spring IUPUI)</w:t>
      </w:r>
    </w:p>
    <w:p w:rsidR="00626A0C" w:rsidRDefault="000A44AF" w:rsidP="00626A0C">
      <w:pPr>
        <w:pStyle w:val="BodyText"/>
        <w:spacing w:line="276" w:lineRule="auto"/>
        <w:ind w:left="305" w:right="4080"/>
        <w:rPr>
          <w:color w:val="231F20"/>
        </w:rPr>
      </w:pPr>
      <w:r>
        <w:rPr>
          <w:color w:val="231F20"/>
        </w:rPr>
        <w:t>REDC 510 - Real Estate Finance and Capital Markets</w:t>
      </w:r>
      <w:r w:rsidR="00626A0C">
        <w:rPr>
          <w:color w:val="231F20"/>
        </w:rPr>
        <w:t xml:space="preserve"> </w:t>
      </w:r>
      <w:r w:rsidR="00626A0C" w:rsidRPr="00626A0C">
        <w:rPr>
          <w:color w:val="FF0000"/>
        </w:rPr>
        <w:t xml:space="preserve">(Summer UINDY) </w:t>
      </w:r>
    </w:p>
    <w:p w:rsidR="00626A0C" w:rsidRPr="00626A0C" w:rsidRDefault="000A44AF" w:rsidP="00626A0C">
      <w:pPr>
        <w:pStyle w:val="BodyText"/>
        <w:spacing w:line="276" w:lineRule="auto"/>
        <w:ind w:left="305" w:right="4350"/>
        <w:rPr>
          <w:color w:val="FF0000"/>
        </w:rPr>
      </w:pPr>
      <w:r>
        <w:rPr>
          <w:color w:val="231F20"/>
        </w:rPr>
        <w:t xml:space="preserve">REDC 520 - Real Estate Valuation and Appraisal </w:t>
      </w:r>
      <w:r w:rsidR="00626A0C" w:rsidRPr="00626A0C">
        <w:rPr>
          <w:color w:val="FF0000"/>
        </w:rPr>
        <w:t>(Summer UINDY)</w:t>
      </w:r>
    </w:p>
    <w:p w:rsidR="00E000EC" w:rsidRPr="00626A0C" w:rsidRDefault="000A44AF" w:rsidP="00626A0C">
      <w:pPr>
        <w:pStyle w:val="BodyText"/>
        <w:spacing w:line="276" w:lineRule="auto"/>
        <w:ind w:left="305" w:right="4350"/>
        <w:rPr>
          <w:color w:val="FF0000"/>
        </w:rPr>
      </w:pPr>
      <w:r>
        <w:rPr>
          <w:color w:val="231F20"/>
        </w:rPr>
        <w:t>REDC 530 - Real Estate Construction Systems</w:t>
      </w:r>
      <w:r w:rsidR="00626A0C">
        <w:rPr>
          <w:color w:val="231F20"/>
        </w:rPr>
        <w:t xml:space="preserve"> </w:t>
      </w:r>
      <w:r w:rsidR="00626A0C" w:rsidRPr="00626A0C">
        <w:rPr>
          <w:color w:val="FF0000"/>
        </w:rPr>
        <w:t>(Fall UINDY)</w:t>
      </w:r>
    </w:p>
    <w:p w:rsidR="00626A0C" w:rsidRPr="00626A0C" w:rsidRDefault="000A44AF" w:rsidP="00626A0C">
      <w:pPr>
        <w:pStyle w:val="BodyText"/>
        <w:spacing w:line="276" w:lineRule="auto"/>
        <w:ind w:left="305" w:right="3270"/>
        <w:rPr>
          <w:color w:val="FF0000"/>
        </w:rPr>
      </w:pPr>
      <w:r>
        <w:rPr>
          <w:color w:val="231F20"/>
        </w:rPr>
        <w:t xml:space="preserve">REDC 540 - Real Estate Development Project Management </w:t>
      </w:r>
      <w:r w:rsidR="00626A0C" w:rsidRPr="00626A0C">
        <w:rPr>
          <w:color w:val="FF0000"/>
        </w:rPr>
        <w:t>(Fall UINDY)</w:t>
      </w:r>
    </w:p>
    <w:p w:rsidR="00E000EC" w:rsidRPr="00626A0C" w:rsidRDefault="000A44AF" w:rsidP="00626A0C">
      <w:pPr>
        <w:pStyle w:val="BodyText"/>
        <w:spacing w:line="276" w:lineRule="auto"/>
        <w:ind w:left="305" w:right="3270"/>
        <w:rPr>
          <w:color w:val="FF0000"/>
        </w:rPr>
      </w:pPr>
      <w:r>
        <w:rPr>
          <w:color w:val="231F20"/>
        </w:rPr>
        <w:t>REDC 550 - Real Estate Development Law</w:t>
      </w:r>
      <w:r w:rsidR="00626A0C">
        <w:rPr>
          <w:color w:val="231F20"/>
        </w:rPr>
        <w:t xml:space="preserve"> </w:t>
      </w:r>
      <w:r w:rsidR="00626A0C" w:rsidRPr="00626A0C">
        <w:rPr>
          <w:color w:val="FF0000"/>
        </w:rPr>
        <w:t>(Spring UINDY)</w:t>
      </w:r>
    </w:p>
    <w:p w:rsidR="003456E7" w:rsidRPr="00626A0C" w:rsidRDefault="000A44AF" w:rsidP="00626A0C">
      <w:pPr>
        <w:pStyle w:val="BodyText"/>
        <w:spacing w:line="276" w:lineRule="auto"/>
        <w:ind w:left="305"/>
        <w:rPr>
          <w:color w:val="FF0000"/>
        </w:rPr>
      </w:pPr>
      <w:r>
        <w:rPr>
          <w:color w:val="231F20"/>
        </w:rPr>
        <w:t>REDC 570 - Capstone Project</w:t>
      </w:r>
      <w:r w:rsidR="00626A0C">
        <w:rPr>
          <w:color w:val="231F20"/>
        </w:rPr>
        <w:t xml:space="preserve"> </w:t>
      </w:r>
      <w:r w:rsidR="00626A0C" w:rsidRPr="00626A0C">
        <w:rPr>
          <w:color w:val="FF0000"/>
        </w:rPr>
        <w:t>(Spring UINDY)</w:t>
      </w:r>
    </w:p>
    <w:sectPr w:rsidR="003456E7" w:rsidRPr="00626A0C">
      <w:type w:val="continuous"/>
      <w:pgSz w:w="12240" w:h="15840"/>
      <w:pgMar w:top="54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EC"/>
    <w:rsid w:val="0002166D"/>
    <w:rsid w:val="00067412"/>
    <w:rsid w:val="0007383A"/>
    <w:rsid w:val="000A44AF"/>
    <w:rsid w:val="000C48BD"/>
    <w:rsid w:val="000E5317"/>
    <w:rsid w:val="001069D6"/>
    <w:rsid w:val="00120D24"/>
    <w:rsid w:val="0014604E"/>
    <w:rsid w:val="00176B92"/>
    <w:rsid w:val="0019481E"/>
    <w:rsid w:val="001A2FAC"/>
    <w:rsid w:val="002E7980"/>
    <w:rsid w:val="00303279"/>
    <w:rsid w:val="003456E7"/>
    <w:rsid w:val="003D53C5"/>
    <w:rsid w:val="004A72E3"/>
    <w:rsid w:val="004F1AC6"/>
    <w:rsid w:val="004F7647"/>
    <w:rsid w:val="00626A0C"/>
    <w:rsid w:val="006270DA"/>
    <w:rsid w:val="00636FCE"/>
    <w:rsid w:val="006A1421"/>
    <w:rsid w:val="006E04CC"/>
    <w:rsid w:val="00727E1B"/>
    <w:rsid w:val="00805646"/>
    <w:rsid w:val="008725A6"/>
    <w:rsid w:val="008D11FD"/>
    <w:rsid w:val="008F75F3"/>
    <w:rsid w:val="00921BBB"/>
    <w:rsid w:val="009534D1"/>
    <w:rsid w:val="009B7204"/>
    <w:rsid w:val="009C550F"/>
    <w:rsid w:val="009E09F5"/>
    <w:rsid w:val="00B05610"/>
    <w:rsid w:val="00B25198"/>
    <w:rsid w:val="00C30310"/>
    <w:rsid w:val="00C36E5F"/>
    <w:rsid w:val="00CA635C"/>
    <w:rsid w:val="00D76F4B"/>
    <w:rsid w:val="00DE79DF"/>
    <w:rsid w:val="00E000EC"/>
    <w:rsid w:val="00E719FB"/>
    <w:rsid w:val="00E81D76"/>
    <w:rsid w:val="00EC5F4D"/>
    <w:rsid w:val="00EF6527"/>
    <w:rsid w:val="00F6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5B24F-6AAF-496F-A043-6CBBA064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7354" w:right="109" w:hanging="112"/>
      <w:jc w:val="right"/>
      <w:outlineLvl w:val="0"/>
    </w:pPr>
    <w:rPr>
      <w:rFonts w:ascii="Arial Black" w:eastAsia="Arial Black" w:hAnsi="Arial Black" w:cs="Arial Black"/>
      <w:b/>
      <w:bCs/>
      <w:sz w:val="30"/>
      <w:szCs w:val="30"/>
    </w:rPr>
  </w:style>
  <w:style w:type="paragraph" w:styleId="Heading2">
    <w:name w:val="heading 2"/>
    <w:basedOn w:val="Normal"/>
    <w:uiPriority w:val="1"/>
    <w:qFormat/>
    <w:pPr>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F75F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how-on-desktop">
    <w:name w:val="show-on-desktop"/>
    <w:basedOn w:val="DefaultParagraphFont"/>
    <w:rsid w:val="008F75F3"/>
  </w:style>
  <w:style w:type="paragraph" w:styleId="BalloonText">
    <w:name w:val="Balloon Text"/>
    <w:basedOn w:val="Normal"/>
    <w:link w:val="BalloonTextChar"/>
    <w:uiPriority w:val="99"/>
    <w:semiHidden/>
    <w:unhideWhenUsed/>
    <w:rsid w:val="0019481E"/>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481E"/>
    <w:rPr>
      <w:rFonts w:ascii="Segoe UI" w:hAnsi="Segoe UI" w:cs="Segoe UI"/>
      <w:sz w:val="18"/>
      <w:szCs w:val="18"/>
    </w:rPr>
  </w:style>
  <w:style w:type="character" w:styleId="Hyperlink">
    <w:name w:val="Hyperlink"/>
    <w:basedOn w:val="DefaultParagraphFont"/>
    <w:uiPriority w:val="99"/>
    <w:unhideWhenUsed/>
    <w:rsid w:val="00E81D76"/>
    <w:rPr>
      <w:color w:val="0000FF" w:themeColor="hyperlink"/>
      <w:u w:val="single"/>
    </w:rPr>
  </w:style>
  <w:style w:type="table" w:styleId="TableGrid">
    <w:name w:val="Table Grid"/>
    <w:basedOn w:val="TableNormal"/>
    <w:uiPriority w:val="39"/>
    <w:rsid w:val="00E81D76"/>
    <w:pPr>
      <w:widowControl/>
      <w:autoSpaceDE/>
      <w:autoSpaceDN/>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7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15308">
      <w:bodyDiv w:val="1"/>
      <w:marLeft w:val="0"/>
      <w:marRight w:val="0"/>
      <w:marTop w:val="0"/>
      <w:marBottom w:val="0"/>
      <w:divBdr>
        <w:top w:val="none" w:sz="0" w:space="0" w:color="auto"/>
        <w:left w:val="none" w:sz="0" w:space="0" w:color="auto"/>
        <w:bottom w:val="none" w:sz="0" w:space="0" w:color="auto"/>
        <w:right w:val="none" w:sz="0" w:space="0" w:color="auto"/>
      </w:divBdr>
      <w:divsChild>
        <w:div w:id="1495533681">
          <w:marLeft w:val="0"/>
          <w:marRight w:val="0"/>
          <w:marTop w:val="0"/>
          <w:marBottom w:val="0"/>
          <w:divBdr>
            <w:top w:val="none" w:sz="0" w:space="0" w:color="auto"/>
            <w:left w:val="none" w:sz="0" w:space="0" w:color="auto"/>
            <w:bottom w:val="none" w:sz="0" w:space="0" w:color="auto"/>
            <w:right w:val="none" w:sz="0" w:space="0" w:color="auto"/>
          </w:divBdr>
        </w:div>
        <w:div w:id="1491824313">
          <w:marLeft w:val="0"/>
          <w:marRight w:val="0"/>
          <w:marTop w:val="0"/>
          <w:marBottom w:val="0"/>
          <w:divBdr>
            <w:top w:val="none" w:sz="0" w:space="0" w:color="auto"/>
            <w:left w:val="none" w:sz="0" w:space="0" w:color="auto"/>
            <w:bottom w:val="none" w:sz="0" w:space="0" w:color="auto"/>
            <w:right w:val="none" w:sz="0" w:space="0" w:color="auto"/>
          </w:divBdr>
        </w:div>
        <w:div w:id="1549217132">
          <w:marLeft w:val="0"/>
          <w:marRight w:val="0"/>
          <w:marTop w:val="0"/>
          <w:marBottom w:val="0"/>
          <w:divBdr>
            <w:top w:val="none" w:sz="0" w:space="0" w:color="auto"/>
            <w:left w:val="none" w:sz="0" w:space="0" w:color="auto"/>
            <w:bottom w:val="none" w:sz="0" w:space="0" w:color="auto"/>
            <w:right w:val="none" w:sz="0" w:space="0" w:color="auto"/>
          </w:divBdr>
        </w:div>
        <w:div w:id="229464096">
          <w:marLeft w:val="0"/>
          <w:marRight w:val="0"/>
          <w:marTop w:val="0"/>
          <w:marBottom w:val="0"/>
          <w:divBdr>
            <w:top w:val="none" w:sz="0" w:space="0" w:color="auto"/>
            <w:left w:val="none" w:sz="0" w:space="0" w:color="auto"/>
            <w:bottom w:val="none" w:sz="0" w:space="0" w:color="auto"/>
            <w:right w:val="none" w:sz="0" w:space="0" w:color="auto"/>
          </w:divBdr>
        </w:div>
        <w:div w:id="2005937288">
          <w:marLeft w:val="0"/>
          <w:marRight w:val="0"/>
          <w:marTop w:val="0"/>
          <w:marBottom w:val="0"/>
          <w:divBdr>
            <w:top w:val="none" w:sz="0" w:space="0" w:color="auto"/>
            <w:left w:val="none" w:sz="0" w:space="0" w:color="auto"/>
            <w:bottom w:val="none" w:sz="0" w:space="0" w:color="auto"/>
            <w:right w:val="none" w:sz="0" w:space="0" w:color="auto"/>
          </w:divBdr>
        </w:div>
        <w:div w:id="1985313765">
          <w:marLeft w:val="0"/>
          <w:marRight w:val="0"/>
          <w:marTop w:val="0"/>
          <w:marBottom w:val="0"/>
          <w:divBdr>
            <w:top w:val="none" w:sz="0" w:space="0" w:color="auto"/>
            <w:left w:val="none" w:sz="0" w:space="0" w:color="auto"/>
            <w:bottom w:val="none" w:sz="0" w:space="0" w:color="auto"/>
            <w:right w:val="none" w:sz="0" w:space="0" w:color="auto"/>
          </w:divBdr>
        </w:div>
      </w:divsChild>
    </w:div>
    <w:div w:id="929970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ue.iupui.edu/undergraduate-curricula/general-education/iupui-general-education-core/arts-humanities/index.html" TargetMode="External"/><Relationship Id="rId3" Type="http://schemas.openxmlformats.org/officeDocument/2006/relationships/settings" Target="settings.xml"/><Relationship Id="rId7" Type="http://schemas.openxmlformats.org/officeDocument/2006/relationships/hyperlink" Target="https://due.iupui.edu/undergraduate-curricula/general-education/iupui-general-education-core/cultural-understanding/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indy.edu/business/realestate/accelerated-real-estat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8308-551B-4642-86A7-578ABCC8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6122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McIntyre, Charles</cp:lastModifiedBy>
  <cp:revision>2</cp:revision>
  <cp:lastPrinted>2019-03-26T17:59:00Z</cp:lastPrinted>
  <dcterms:created xsi:type="dcterms:W3CDTF">2019-10-16T19:02:00Z</dcterms:created>
  <dcterms:modified xsi:type="dcterms:W3CDTF">2019-10-16T19:02:00Z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2011-03-08T00:00:00Z</vt:filetime>
  </property>
  <property fmtid="{D5CDD505-2E9C-101B-9397-08002B2CF9AE}" pid="3" name="Creator">
    <vt:lpwstr>Adobe InDesign CS4 (6.0.6)</vt:lpwstr>
  </property>
  <property fmtid="{D5CDD505-2E9C-101B-9397-08002B2CF9AE}" pid="4" name="LastSaved">
    <vt:filetime>2018-07-25T00:00:00Z</vt:filetime>
  </property>
</Properties>
</file>